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666CF">
      <w:pPr>
        <w:pStyle w:val="3"/>
        <w:shd w:val="clear" w:color="auto" w:fill="FFFFFF"/>
        <w:jc w:val="center"/>
        <w:divId w:val="474689679"/>
        <w:rPr>
          <w:rFonts w:ascii="微软雅黑" w:eastAsia="微软雅黑" w:hAnsi="微软雅黑" w:hint="eastAsia"/>
        </w:rPr>
      </w:pPr>
      <w:r>
        <w:rPr>
          <w:rFonts w:ascii="微软雅黑" w:eastAsia="微软雅黑" w:hAnsi="微软雅黑" w:hint="eastAsia"/>
        </w:rPr>
        <w:t>金湾区总部企业认定管理办法</w:t>
      </w:r>
    </w:p>
    <w:p w:rsidR="00000000" w:rsidRDefault="005666CF">
      <w:pPr>
        <w:pStyle w:val="a6"/>
        <w:shd w:val="clear" w:color="auto" w:fill="FFFFFF"/>
        <w:jc w:val="center"/>
        <w:divId w:val="474689679"/>
        <w:rPr>
          <w:rFonts w:ascii="微软雅黑" w:eastAsia="微软雅黑" w:hAnsi="微软雅黑" w:hint="eastAsia"/>
          <w:color w:val="555555"/>
          <w:sz w:val="17"/>
          <w:szCs w:val="17"/>
        </w:rPr>
      </w:pPr>
      <w:r>
        <w:rPr>
          <w:rFonts w:ascii="微软雅黑" w:eastAsia="微软雅黑" w:hAnsi="微软雅黑" w:hint="eastAsia"/>
          <w:color w:val="555555"/>
          <w:sz w:val="17"/>
          <w:szCs w:val="17"/>
        </w:rPr>
        <w:t>区招商局</w:t>
      </w:r>
      <w:r>
        <w:rPr>
          <w:rFonts w:ascii="微软雅黑" w:eastAsia="微软雅黑" w:hAnsi="微软雅黑" w:hint="eastAsia"/>
          <w:color w:val="555555"/>
          <w:sz w:val="17"/>
          <w:szCs w:val="17"/>
        </w:rPr>
        <w:t xml:space="preserve"> </w:t>
      </w:r>
      <w:r>
        <w:rPr>
          <w:rFonts w:ascii="微软雅黑" w:eastAsia="微软雅黑" w:hAnsi="微软雅黑" w:hint="eastAsia"/>
          <w:color w:val="555555"/>
          <w:sz w:val="17"/>
          <w:szCs w:val="17"/>
        </w:rPr>
        <w:t>日期：</w:t>
      </w:r>
      <w:r>
        <w:rPr>
          <w:rFonts w:ascii="微软雅黑" w:eastAsia="微软雅黑" w:hAnsi="微软雅黑" w:hint="eastAsia"/>
          <w:color w:val="555555"/>
          <w:sz w:val="17"/>
          <w:szCs w:val="17"/>
        </w:rPr>
        <w:t xml:space="preserve">2016-12-30 </w:t>
      </w:r>
      <w:r>
        <w:rPr>
          <w:rFonts w:ascii="微软雅黑" w:eastAsia="微软雅黑" w:hAnsi="微软雅黑" w:hint="eastAsia"/>
          <w:color w:val="555555"/>
          <w:sz w:val="17"/>
          <w:szCs w:val="17"/>
        </w:rPr>
        <w:t>浏览次数：</w:t>
      </w:r>
      <w:r>
        <w:rPr>
          <w:rFonts w:ascii="微软雅黑" w:eastAsia="微软雅黑" w:hAnsi="微软雅黑" w:hint="eastAsia"/>
          <w:color w:val="555555"/>
          <w:sz w:val="17"/>
          <w:szCs w:val="17"/>
        </w:rPr>
        <w:t>536</w:t>
      </w:r>
    </w:p>
    <w:p w:rsidR="00000000" w:rsidRDefault="005666CF">
      <w:pPr>
        <w:shd w:val="clear" w:color="auto" w:fill="FFFFFF"/>
        <w:jc w:val="center"/>
        <w:divId w:val="1515145155"/>
        <w:rPr>
          <w:rFonts w:ascii="微软雅黑" w:eastAsia="微软雅黑" w:hAnsi="微软雅黑" w:hint="eastAsia"/>
          <w:color w:val="555555"/>
          <w:sz w:val="17"/>
          <w:szCs w:val="17"/>
        </w:rPr>
      </w:pPr>
      <w:hyperlink w:history="1">
        <w:r>
          <w:rPr>
            <w:rStyle w:val="a3"/>
            <w:rFonts w:ascii="微软雅黑" w:eastAsia="微软雅黑" w:hAnsi="微软雅黑" w:hint="eastAsia"/>
            <w:sz w:val="17"/>
            <w:szCs w:val="17"/>
          </w:rPr>
          <w:t>分享到：</w:t>
        </w:r>
      </w:hyperlink>
      <w:r>
        <w:rPr>
          <w:rFonts w:ascii="微软雅黑" w:eastAsia="微软雅黑" w:hAnsi="微软雅黑" w:hint="eastAsia"/>
          <w:color w:val="555555"/>
          <w:sz w:val="17"/>
          <w:szCs w:val="17"/>
        </w:rPr>
        <w:t xml:space="preserve"> </w:t>
      </w:r>
      <w:hyperlink w:tooltip="分享到新浪微博" w:history="1">
        <w:r>
          <w:rPr>
            <w:rStyle w:val="a3"/>
            <w:rFonts w:ascii="微软雅黑" w:eastAsia="微软雅黑" w:hAnsi="微软雅黑" w:hint="eastAsia"/>
            <w:sz w:val="17"/>
            <w:szCs w:val="17"/>
          </w:rPr>
          <w:t>新</w:t>
        </w:r>
        <w:proofErr w:type="gramStart"/>
        <w:r>
          <w:rPr>
            <w:rStyle w:val="a3"/>
            <w:rFonts w:ascii="微软雅黑" w:eastAsia="微软雅黑" w:hAnsi="微软雅黑" w:hint="eastAsia"/>
            <w:sz w:val="17"/>
            <w:szCs w:val="17"/>
          </w:rPr>
          <w:t>浪微博</w:t>
        </w:r>
        <w:proofErr w:type="gramEnd"/>
      </w:hyperlink>
      <w:r>
        <w:rPr>
          <w:rFonts w:ascii="微软雅黑" w:eastAsia="微软雅黑" w:hAnsi="微软雅黑" w:hint="eastAsia"/>
          <w:color w:val="555555"/>
          <w:sz w:val="17"/>
          <w:szCs w:val="17"/>
        </w:rPr>
        <w:t xml:space="preserve"> </w:t>
      </w:r>
      <w:hyperlink w:tooltip="分享到腾讯微博" w:history="1">
        <w:proofErr w:type="gramStart"/>
        <w:r>
          <w:rPr>
            <w:rStyle w:val="a3"/>
            <w:rFonts w:ascii="微软雅黑" w:eastAsia="微软雅黑" w:hAnsi="微软雅黑" w:hint="eastAsia"/>
            <w:sz w:val="17"/>
            <w:szCs w:val="17"/>
          </w:rPr>
          <w:t>腾讯微博</w:t>
        </w:r>
        <w:proofErr w:type="gramEnd"/>
      </w:hyperlink>
      <w:r>
        <w:rPr>
          <w:rFonts w:ascii="微软雅黑" w:eastAsia="微软雅黑" w:hAnsi="微软雅黑" w:hint="eastAsia"/>
          <w:color w:val="555555"/>
          <w:sz w:val="17"/>
          <w:szCs w:val="17"/>
        </w:rPr>
        <w:t xml:space="preserve"> </w:t>
      </w:r>
    </w:p>
    <w:p w:rsidR="00000000" w:rsidRDefault="005666CF" w:rsidP="005666CF">
      <w:pPr>
        <w:shd w:val="clear" w:color="auto" w:fill="FFFFFF"/>
        <w:spacing w:line="288" w:lineRule="atLeast"/>
        <w:divId w:val="332075485"/>
        <w:rPr>
          <w:rFonts w:hint="eastAsia"/>
        </w:rPr>
      </w:pPr>
      <w:r>
        <w:rPr>
          <w:rFonts w:ascii="微软雅黑" w:eastAsia="微软雅黑" w:hAnsi="微软雅黑" w:hint="eastAsia"/>
          <w:color w:val="797979"/>
          <w:sz w:val="17"/>
          <w:szCs w:val="17"/>
        </w:rPr>
        <w:t>第一章</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总则</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第一条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为规范总部企业认定管理工作，鼓励和促进总部经济发展，根据《金湾区鼓励总部经济发展的实施办法》（</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）文件精神，结合本区实际，制定本办法。</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第二条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总部企业认定坚持“公开、公平、公正”的原则，按照企业自愿申请，政府认定，社会监督的方式运作。</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第三条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区总部经济工作领导小组负责总部企业的审核和认定工作，领导小组办公室设在区招商局，负责日常事务。</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第二章</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认定范围和条件</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第四条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本办法所称的总部企业，是指在本区注册并依法开展经营活动，对一定区域内分支机构或控股企业（以下简称下属企业）行使投资、管理和服务</w:t>
      </w:r>
      <w:r>
        <w:rPr>
          <w:rFonts w:ascii="微软雅黑" w:eastAsia="微软雅黑" w:hAnsi="微软雅黑" w:hint="eastAsia"/>
          <w:color w:val="797979"/>
          <w:sz w:val="17"/>
          <w:szCs w:val="17"/>
        </w:rPr>
        <w:t>职能，并在我区汇总缴纳企业所得税的法人企业（不含非银行金融机构）。总部企业分为综合型总部企业和职能型总部企业两类。</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第五条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申请认定总部企业的，需是在本区设立并在注册登记两年内提出认定申请的企业或是世界</w:t>
      </w:r>
      <w:r>
        <w:rPr>
          <w:rFonts w:ascii="微软雅黑" w:eastAsia="微软雅黑" w:hAnsi="微软雅黑" w:hint="eastAsia"/>
          <w:color w:val="797979"/>
          <w:sz w:val="17"/>
          <w:szCs w:val="17"/>
        </w:rPr>
        <w:t>500</w:t>
      </w:r>
      <w:r>
        <w:rPr>
          <w:rFonts w:ascii="微软雅黑" w:eastAsia="微软雅黑" w:hAnsi="微软雅黑" w:hint="eastAsia"/>
          <w:color w:val="797979"/>
          <w:sz w:val="17"/>
          <w:szCs w:val="17"/>
        </w:rPr>
        <w:t>强、中国</w:t>
      </w:r>
      <w:r>
        <w:rPr>
          <w:rFonts w:ascii="微软雅黑" w:eastAsia="微软雅黑" w:hAnsi="微软雅黑" w:hint="eastAsia"/>
          <w:color w:val="797979"/>
          <w:sz w:val="17"/>
          <w:szCs w:val="17"/>
        </w:rPr>
        <w:t xml:space="preserve"> 500</w:t>
      </w:r>
      <w:r>
        <w:rPr>
          <w:rFonts w:ascii="微软雅黑" w:eastAsia="微软雅黑" w:hAnsi="微软雅黑" w:hint="eastAsia"/>
          <w:color w:val="797979"/>
          <w:sz w:val="17"/>
          <w:szCs w:val="17"/>
        </w:rPr>
        <w:t>强等国内外知名企业在我区新设或将区内现有机构升级为总部或者区域总部，并经区总部经济工作领导小组同意认定为总部的企业。</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第六条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申请认定总部企业，应具备以下基本条件：</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（一）具有独立法人资格，工商注册地址、税务登记和统一核算均在金湾区辖区内，并在金湾区汇总缴纳企业所得税；</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（二）拥有我区外</w:t>
      </w:r>
      <w:r>
        <w:rPr>
          <w:rFonts w:ascii="微软雅黑" w:eastAsia="微软雅黑" w:hAnsi="微软雅黑" w:hint="eastAsia"/>
          <w:color w:val="797979"/>
          <w:sz w:val="17"/>
          <w:szCs w:val="17"/>
        </w:rPr>
        <w:t>下属企业不少于</w:t>
      </w:r>
      <w:r>
        <w:rPr>
          <w:rFonts w:ascii="微软雅黑" w:eastAsia="微软雅黑" w:hAnsi="微软雅黑" w:hint="eastAsia"/>
          <w:color w:val="797979"/>
          <w:sz w:val="17"/>
          <w:szCs w:val="17"/>
        </w:rPr>
        <w:t>1</w:t>
      </w:r>
      <w:r>
        <w:rPr>
          <w:rFonts w:ascii="微软雅黑" w:eastAsia="微软雅黑" w:hAnsi="微软雅黑" w:hint="eastAsia"/>
          <w:color w:val="797979"/>
          <w:sz w:val="17"/>
          <w:szCs w:val="17"/>
        </w:rPr>
        <w:t>家，并且区外企业部分业务在我区产生了税收贡献；</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（三）承诺</w:t>
      </w:r>
      <w:proofErr w:type="gramStart"/>
      <w:r>
        <w:rPr>
          <w:rFonts w:ascii="微软雅黑" w:eastAsia="微软雅黑" w:hAnsi="微软雅黑" w:hint="eastAsia"/>
          <w:color w:val="797979"/>
          <w:sz w:val="17"/>
          <w:szCs w:val="17"/>
        </w:rPr>
        <w:t>自认定起</w:t>
      </w:r>
      <w:proofErr w:type="gramEnd"/>
      <w:r>
        <w:rPr>
          <w:rFonts w:ascii="微软雅黑" w:eastAsia="微软雅黑" w:hAnsi="微软雅黑" w:hint="eastAsia"/>
          <w:color w:val="797979"/>
          <w:sz w:val="17"/>
          <w:szCs w:val="17"/>
        </w:rPr>
        <w:t>5</w:t>
      </w:r>
      <w:r>
        <w:rPr>
          <w:rFonts w:ascii="微软雅黑" w:eastAsia="微软雅黑" w:hAnsi="微软雅黑" w:hint="eastAsia"/>
          <w:color w:val="797979"/>
          <w:sz w:val="17"/>
          <w:szCs w:val="17"/>
        </w:rPr>
        <w:t>年内注册地址不从我区迁出，不减少实缴注册资本或认缴注册资本，不改变在我区的纳税义务。</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第七条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综合型总部是指具有决策管理、行政管理、资产管理、资金结算管理、研发管理、采购管理等总部职能的大型企业。申请认定综合型总部，应符合下列条件：</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（一）符合本办法第六条规定；</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（二）实缴注册资本或认缴注册资本</w:t>
      </w:r>
      <w:r>
        <w:rPr>
          <w:rFonts w:ascii="微软雅黑" w:eastAsia="微软雅黑" w:hAnsi="微软雅黑" w:hint="eastAsia"/>
          <w:color w:val="797979"/>
          <w:sz w:val="17"/>
          <w:szCs w:val="17"/>
        </w:rPr>
        <w:t>5000</w:t>
      </w:r>
      <w:r>
        <w:rPr>
          <w:rFonts w:ascii="微软雅黑" w:eastAsia="微软雅黑" w:hAnsi="微软雅黑" w:hint="eastAsia"/>
          <w:color w:val="797979"/>
          <w:sz w:val="17"/>
          <w:szCs w:val="17"/>
        </w:rPr>
        <w:t>万元以上；</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（三）上年度主营业务收入</w:t>
      </w:r>
      <w:r>
        <w:rPr>
          <w:rFonts w:ascii="微软雅黑" w:eastAsia="微软雅黑" w:hAnsi="微软雅黑" w:hint="eastAsia"/>
          <w:color w:val="797979"/>
          <w:sz w:val="17"/>
          <w:szCs w:val="17"/>
        </w:rPr>
        <w:t>5</w:t>
      </w:r>
      <w:r>
        <w:rPr>
          <w:rFonts w:ascii="微软雅黑" w:eastAsia="微软雅黑" w:hAnsi="微软雅黑" w:hint="eastAsia"/>
          <w:color w:val="797979"/>
          <w:sz w:val="17"/>
          <w:szCs w:val="17"/>
        </w:rPr>
        <w:t>亿元以上；</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（四）上年度在本区纳税（指企业所得税、增值税、营业税，下同）的地方留成部分</w:t>
      </w:r>
      <w:r>
        <w:rPr>
          <w:rFonts w:ascii="微软雅黑" w:eastAsia="微软雅黑" w:hAnsi="微软雅黑" w:hint="eastAsia"/>
          <w:color w:val="797979"/>
          <w:sz w:val="17"/>
          <w:szCs w:val="17"/>
        </w:rPr>
        <w:t>2000</w:t>
      </w:r>
      <w:r>
        <w:rPr>
          <w:rFonts w:ascii="微软雅黑" w:eastAsia="微软雅黑" w:hAnsi="微软雅黑" w:hint="eastAsia"/>
          <w:color w:val="797979"/>
          <w:sz w:val="17"/>
          <w:szCs w:val="17"/>
        </w:rPr>
        <w:t>万元以上。</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第八条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职能型总部是指具有部分总部职能或行使单一管理职能的较大型企业。申请认定职能型总部，应符合下列条件：</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（一）先进制造业职能型总部。属于我区“</w:t>
      </w:r>
      <w:r>
        <w:rPr>
          <w:rFonts w:ascii="微软雅黑" w:eastAsia="微软雅黑" w:hAnsi="微软雅黑" w:hint="eastAsia"/>
          <w:color w:val="797979"/>
          <w:sz w:val="17"/>
          <w:szCs w:val="17"/>
        </w:rPr>
        <w:t>3+1</w:t>
      </w:r>
      <w:r>
        <w:rPr>
          <w:rFonts w:ascii="微软雅黑" w:eastAsia="微软雅黑" w:hAnsi="微软雅黑" w:hint="eastAsia"/>
          <w:color w:val="797979"/>
          <w:sz w:val="17"/>
          <w:szCs w:val="17"/>
        </w:rPr>
        <w:t>”战略性新兴产业，符合本意见第五条规定，实缴（或认缴）注册资本</w:t>
      </w:r>
      <w:r>
        <w:rPr>
          <w:rFonts w:ascii="微软雅黑" w:eastAsia="微软雅黑" w:hAnsi="微软雅黑" w:hint="eastAsia"/>
          <w:color w:val="797979"/>
          <w:sz w:val="17"/>
          <w:szCs w:val="17"/>
        </w:rPr>
        <w:t>3000</w:t>
      </w:r>
      <w:r>
        <w:rPr>
          <w:rFonts w:ascii="微软雅黑" w:eastAsia="微软雅黑" w:hAnsi="微软雅黑" w:hint="eastAsia"/>
          <w:color w:val="797979"/>
          <w:sz w:val="17"/>
          <w:szCs w:val="17"/>
        </w:rPr>
        <w:t>万元以上，上年度主营业务收入</w:t>
      </w:r>
      <w:r>
        <w:rPr>
          <w:rFonts w:ascii="微软雅黑" w:eastAsia="微软雅黑" w:hAnsi="微软雅黑" w:hint="eastAsia"/>
          <w:color w:val="797979"/>
          <w:sz w:val="17"/>
          <w:szCs w:val="17"/>
        </w:rPr>
        <w:t>1.5</w:t>
      </w:r>
      <w:r>
        <w:rPr>
          <w:rFonts w:ascii="微软雅黑" w:eastAsia="微软雅黑" w:hAnsi="微软雅黑" w:hint="eastAsia"/>
          <w:color w:val="797979"/>
          <w:sz w:val="17"/>
          <w:szCs w:val="17"/>
        </w:rPr>
        <w:t>亿元以上，上年度在我区纳税地方留成部分</w:t>
      </w:r>
      <w:r>
        <w:rPr>
          <w:rFonts w:ascii="微软雅黑" w:eastAsia="微软雅黑" w:hAnsi="微软雅黑" w:hint="eastAsia"/>
          <w:color w:val="797979"/>
          <w:sz w:val="17"/>
          <w:szCs w:val="17"/>
        </w:rPr>
        <w:t>500</w:t>
      </w:r>
      <w:r>
        <w:rPr>
          <w:rFonts w:ascii="微软雅黑" w:eastAsia="微软雅黑" w:hAnsi="微软雅黑" w:hint="eastAsia"/>
          <w:color w:val="797979"/>
          <w:sz w:val="17"/>
          <w:szCs w:val="17"/>
        </w:rPr>
        <w:t>万元以上的企业，可申请认定为职能型总部。</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（二）高新技术产业职能型总部。属于国家高新技术企业或双软企业，符合本意见第五条规定，实缴（或认缴）注册资本</w:t>
      </w:r>
      <w:r>
        <w:rPr>
          <w:rFonts w:ascii="微软雅黑" w:eastAsia="微软雅黑" w:hAnsi="微软雅黑" w:hint="eastAsia"/>
          <w:color w:val="797979"/>
          <w:sz w:val="17"/>
          <w:szCs w:val="17"/>
        </w:rPr>
        <w:t>1000</w:t>
      </w:r>
      <w:r>
        <w:rPr>
          <w:rFonts w:ascii="微软雅黑" w:eastAsia="微软雅黑" w:hAnsi="微软雅黑" w:hint="eastAsia"/>
          <w:color w:val="797979"/>
          <w:sz w:val="17"/>
          <w:szCs w:val="17"/>
        </w:rPr>
        <w:t>万元以上，上年度主营业务收入</w:t>
      </w:r>
      <w:r>
        <w:rPr>
          <w:rFonts w:ascii="微软雅黑" w:eastAsia="微软雅黑" w:hAnsi="微软雅黑" w:hint="eastAsia"/>
          <w:color w:val="797979"/>
          <w:sz w:val="17"/>
          <w:szCs w:val="17"/>
        </w:rPr>
        <w:t>1</w:t>
      </w:r>
      <w:r>
        <w:rPr>
          <w:rFonts w:ascii="微软雅黑" w:eastAsia="微软雅黑" w:hAnsi="微软雅黑" w:hint="eastAsia"/>
          <w:color w:val="797979"/>
          <w:sz w:val="17"/>
          <w:szCs w:val="17"/>
        </w:rPr>
        <w:t>亿元以</w:t>
      </w:r>
      <w:r>
        <w:rPr>
          <w:rFonts w:ascii="微软雅黑" w:eastAsia="微软雅黑" w:hAnsi="微软雅黑" w:hint="eastAsia"/>
          <w:color w:val="797979"/>
          <w:sz w:val="17"/>
          <w:szCs w:val="17"/>
        </w:rPr>
        <w:t>上，上年度在我区纳税地方留成部分</w:t>
      </w:r>
      <w:r>
        <w:rPr>
          <w:rFonts w:ascii="微软雅黑" w:eastAsia="微软雅黑" w:hAnsi="微软雅黑" w:hint="eastAsia"/>
          <w:color w:val="797979"/>
          <w:sz w:val="17"/>
          <w:szCs w:val="17"/>
        </w:rPr>
        <w:t>300</w:t>
      </w:r>
      <w:r>
        <w:rPr>
          <w:rFonts w:ascii="微软雅黑" w:eastAsia="微软雅黑" w:hAnsi="微软雅黑" w:hint="eastAsia"/>
          <w:color w:val="797979"/>
          <w:sz w:val="17"/>
          <w:szCs w:val="17"/>
        </w:rPr>
        <w:t>万元以上的企业，可申请认定为职能型总部。</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（三）</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现代服务业职能型总部。属于现代物流、信息服务、服务外包、研发设计、会议展览等领域的企业（不含房地产业），符合本意见第五条规定，实缴（或认缴）注册</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资本</w:t>
      </w:r>
      <w:r>
        <w:rPr>
          <w:rFonts w:ascii="微软雅黑" w:eastAsia="微软雅黑" w:hAnsi="微软雅黑" w:hint="eastAsia"/>
          <w:color w:val="797979"/>
          <w:sz w:val="17"/>
          <w:szCs w:val="17"/>
        </w:rPr>
        <w:t>1000</w:t>
      </w:r>
      <w:r>
        <w:rPr>
          <w:rFonts w:ascii="微软雅黑" w:eastAsia="微软雅黑" w:hAnsi="微软雅黑" w:hint="eastAsia"/>
          <w:color w:val="797979"/>
          <w:sz w:val="17"/>
          <w:szCs w:val="17"/>
        </w:rPr>
        <w:t>万元以上，上年度主营业务收入</w:t>
      </w:r>
      <w:r>
        <w:rPr>
          <w:rFonts w:ascii="微软雅黑" w:eastAsia="微软雅黑" w:hAnsi="微软雅黑" w:hint="eastAsia"/>
          <w:color w:val="797979"/>
          <w:sz w:val="17"/>
          <w:szCs w:val="17"/>
        </w:rPr>
        <w:t>5000</w:t>
      </w:r>
      <w:r>
        <w:rPr>
          <w:rFonts w:ascii="微软雅黑" w:eastAsia="微软雅黑" w:hAnsi="微软雅黑" w:hint="eastAsia"/>
          <w:color w:val="797979"/>
          <w:sz w:val="17"/>
          <w:szCs w:val="17"/>
        </w:rPr>
        <w:t>万元以上，上年度在我区纳税地方留成部分</w:t>
      </w:r>
      <w:r>
        <w:rPr>
          <w:rFonts w:ascii="微软雅黑" w:eastAsia="微软雅黑" w:hAnsi="微软雅黑" w:hint="eastAsia"/>
          <w:color w:val="797979"/>
          <w:sz w:val="17"/>
          <w:szCs w:val="17"/>
        </w:rPr>
        <w:t>300</w:t>
      </w:r>
      <w:r>
        <w:rPr>
          <w:rFonts w:ascii="微软雅黑" w:eastAsia="微软雅黑" w:hAnsi="微软雅黑" w:hint="eastAsia"/>
          <w:color w:val="797979"/>
          <w:sz w:val="17"/>
          <w:szCs w:val="17"/>
        </w:rPr>
        <w:t>万元以上的，可申请认定为职能型总部。</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（四）</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商贸流通</w:t>
      </w:r>
      <w:proofErr w:type="gramStart"/>
      <w:r>
        <w:rPr>
          <w:rFonts w:ascii="微软雅黑" w:eastAsia="微软雅黑" w:hAnsi="微软雅黑" w:hint="eastAsia"/>
          <w:color w:val="797979"/>
          <w:sz w:val="17"/>
          <w:szCs w:val="17"/>
        </w:rPr>
        <w:t>业职能</w:t>
      </w:r>
      <w:proofErr w:type="gramEnd"/>
      <w:r>
        <w:rPr>
          <w:rFonts w:ascii="微软雅黑" w:eastAsia="微软雅黑" w:hAnsi="微软雅黑" w:hint="eastAsia"/>
          <w:color w:val="797979"/>
          <w:sz w:val="17"/>
          <w:szCs w:val="17"/>
        </w:rPr>
        <w:t>型总部。属于批发、零售业企业，符合本意见第五条规定，实缴（或认缴）注册资本</w:t>
      </w:r>
      <w:r>
        <w:rPr>
          <w:rFonts w:ascii="微软雅黑" w:eastAsia="微软雅黑" w:hAnsi="微软雅黑" w:hint="eastAsia"/>
          <w:color w:val="797979"/>
          <w:sz w:val="17"/>
          <w:szCs w:val="17"/>
        </w:rPr>
        <w:t>1000</w:t>
      </w:r>
      <w:r>
        <w:rPr>
          <w:rFonts w:ascii="微软雅黑" w:eastAsia="微软雅黑" w:hAnsi="微软雅黑" w:hint="eastAsia"/>
          <w:color w:val="797979"/>
          <w:sz w:val="17"/>
          <w:szCs w:val="17"/>
        </w:rPr>
        <w:t>万元以上，批发企业上年度主营业务收入</w:t>
      </w:r>
      <w:r>
        <w:rPr>
          <w:rFonts w:ascii="微软雅黑" w:eastAsia="微软雅黑" w:hAnsi="微软雅黑" w:hint="eastAsia"/>
          <w:color w:val="797979"/>
          <w:sz w:val="17"/>
          <w:szCs w:val="17"/>
        </w:rPr>
        <w:t>5</w:t>
      </w:r>
      <w:r>
        <w:rPr>
          <w:rFonts w:ascii="微软雅黑" w:eastAsia="微软雅黑" w:hAnsi="微软雅黑" w:hint="eastAsia"/>
          <w:color w:val="797979"/>
          <w:sz w:val="17"/>
          <w:szCs w:val="17"/>
        </w:rPr>
        <w:t>亿元以</w:t>
      </w:r>
      <w:r>
        <w:rPr>
          <w:rFonts w:ascii="微软雅黑" w:eastAsia="微软雅黑" w:hAnsi="微软雅黑" w:hint="eastAsia"/>
          <w:color w:val="797979"/>
          <w:sz w:val="17"/>
          <w:szCs w:val="17"/>
        </w:rPr>
        <w:t>上或零售企业上年度主营业务收入</w:t>
      </w:r>
      <w:r>
        <w:rPr>
          <w:rFonts w:ascii="微软雅黑" w:eastAsia="微软雅黑" w:hAnsi="微软雅黑" w:hint="eastAsia"/>
          <w:color w:val="797979"/>
          <w:sz w:val="17"/>
          <w:szCs w:val="17"/>
        </w:rPr>
        <w:t>1</w:t>
      </w:r>
      <w:r>
        <w:rPr>
          <w:rFonts w:ascii="微软雅黑" w:eastAsia="微软雅黑" w:hAnsi="微软雅黑" w:hint="eastAsia"/>
          <w:color w:val="797979"/>
          <w:sz w:val="17"/>
          <w:szCs w:val="17"/>
        </w:rPr>
        <w:t>亿元以上，上年度在我区纳税地方留成部分</w:t>
      </w:r>
      <w:r>
        <w:rPr>
          <w:rFonts w:ascii="微软雅黑" w:eastAsia="微软雅黑" w:hAnsi="微软雅黑" w:hint="eastAsia"/>
          <w:color w:val="797979"/>
          <w:sz w:val="17"/>
          <w:szCs w:val="17"/>
        </w:rPr>
        <w:t>300</w:t>
      </w:r>
      <w:r>
        <w:rPr>
          <w:rFonts w:ascii="微软雅黑" w:eastAsia="微软雅黑" w:hAnsi="微软雅黑" w:hint="eastAsia"/>
          <w:color w:val="797979"/>
          <w:sz w:val="17"/>
          <w:szCs w:val="17"/>
        </w:rPr>
        <w:t>万元以上的，可申请认定为职能型总部企业。</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（五）</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文化创意职能型总部。属于广播影视、动漫、音像、传媒、视觉艺术、表演艺术、工艺与设计、雕塑、环境艺术、广告装潢、服装设计等领域不占用我区土地资源的</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企业，符合本意见第五条规定，实缴（或认缴）注册资本</w:t>
      </w:r>
      <w:r>
        <w:rPr>
          <w:rFonts w:ascii="微软雅黑" w:eastAsia="微软雅黑" w:hAnsi="微软雅黑" w:hint="eastAsia"/>
          <w:color w:val="797979"/>
          <w:sz w:val="17"/>
          <w:szCs w:val="17"/>
        </w:rPr>
        <w:t>100</w:t>
      </w:r>
      <w:r>
        <w:rPr>
          <w:rFonts w:ascii="微软雅黑" w:eastAsia="微软雅黑" w:hAnsi="微软雅黑" w:hint="eastAsia"/>
          <w:color w:val="797979"/>
          <w:sz w:val="17"/>
          <w:szCs w:val="17"/>
        </w:rPr>
        <w:t>万元以上，上年度主营业务收入</w:t>
      </w:r>
      <w:r>
        <w:rPr>
          <w:rFonts w:ascii="微软雅黑" w:eastAsia="微软雅黑" w:hAnsi="微软雅黑" w:hint="eastAsia"/>
          <w:color w:val="797979"/>
          <w:sz w:val="17"/>
          <w:szCs w:val="17"/>
        </w:rPr>
        <w:t>3000</w:t>
      </w:r>
      <w:r>
        <w:rPr>
          <w:rFonts w:ascii="微软雅黑" w:eastAsia="微软雅黑" w:hAnsi="微软雅黑" w:hint="eastAsia"/>
          <w:color w:val="797979"/>
          <w:sz w:val="17"/>
          <w:szCs w:val="17"/>
        </w:rPr>
        <w:t>万元以上，上年度在我区纳税地方留成部分</w:t>
      </w:r>
      <w:r>
        <w:rPr>
          <w:rFonts w:ascii="微软雅黑" w:eastAsia="微软雅黑" w:hAnsi="微软雅黑" w:hint="eastAsia"/>
          <w:color w:val="797979"/>
          <w:sz w:val="17"/>
          <w:szCs w:val="17"/>
        </w:rPr>
        <w:t>200</w:t>
      </w:r>
      <w:r>
        <w:rPr>
          <w:rFonts w:ascii="微软雅黑" w:eastAsia="微软雅黑" w:hAnsi="微软雅黑" w:hint="eastAsia"/>
          <w:color w:val="797979"/>
          <w:sz w:val="17"/>
          <w:szCs w:val="17"/>
        </w:rPr>
        <w:t>万元以上的，可申请认定为职能型总部。</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（六）</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外商投资性公司、外商管理性公司总部。注册地在金湾区并经国家</w:t>
      </w:r>
      <w:r>
        <w:rPr>
          <w:rFonts w:ascii="微软雅黑" w:eastAsia="微软雅黑" w:hAnsi="微软雅黑" w:hint="eastAsia"/>
          <w:color w:val="797979"/>
          <w:sz w:val="17"/>
          <w:szCs w:val="17"/>
        </w:rPr>
        <w:t>商务部认定的外商投资性公司和采购中心，实缴（或认缴）注册资本</w:t>
      </w:r>
      <w:r>
        <w:rPr>
          <w:rFonts w:ascii="微软雅黑" w:eastAsia="微软雅黑" w:hAnsi="微软雅黑" w:hint="eastAsia"/>
          <w:color w:val="797979"/>
          <w:sz w:val="17"/>
          <w:szCs w:val="17"/>
        </w:rPr>
        <w:t>3000</w:t>
      </w:r>
      <w:r>
        <w:rPr>
          <w:rFonts w:ascii="微软雅黑" w:eastAsia="微软雅黑" w:hAnsi="微软雅黑" w:hint="eastAsia"/>
          <w:color w:val="797979"/>
          <w:sz w:val="17"/>
          <w:szCs w:val="17"/>
        </w:rPr>
        <w:t>万美元以上，上年度在我区纳税地方留成部分</w:t>
      </w:r>
      <w:r>
        <w:rPr>
          <w:rFonts w:ascii="微软雅黑" w:eastAsia="微软雅黑" w:hAnsi="微软雅黑" w:hint="eastAsia"/>
          <w:color w:val="797979"/>
          <w:sz w:val="17"/>
          <w:szCs w:val="17"/>
        </w:rPr>
        <w:t>300</w:t>
      </w:r>
      <w:r>
        <w:rPr>
          <w:rFonts w:ascii="微软雅黑" w:eastAsia="微软雅黑" w:hAnsi="微软雅黑" w:hint="eastAsia"/>
          <w:color w:val="797979"/>
          <w:sz w:val="17"/>
          <w:szCs w:val="17"/>
        </w:rPr>
        <w:t>万元以上的；注册地在金湾区、实缴（或认缴）注册资本</w:t>
      </w:r>
      <w:r>
        <w:rPr>
          <w:rFonts w:ascii="微软雅黑" w:eastAsia="微软雅黑" w:hAnsi="微软雅黑" w:hint="eastAsia"/>
          <w:color w:val="797979"/>
          <w:sz w:val="17"/>
          <w:szCs w:val="17"/>
        </w:rPr>
        <w:t>200</w:t>
      </w:r>
      <w:r>
        <w:rPr>
          <w:rFonts w:ascii="微软雅黑" w:eastAsia="微软雅黑" w:hAnsi="微软雅黑" w:hint="eastAsia"/>
          <w:color w:val="797979"/>
          <w:sz w:val="17"/>
          <w:szCs w:val="17"/>
        </w:rPr>
        <w:t>万美元以上的外商管理性公司，上年度在我区纳税地方留成部分</w:t>
      </w:r>
      <w:r>
        <w:rPr>
          <w:rFonts w:ascii="微软雅黑" w:eastAsia="微软雅黑" w:hAnsi="微软雅黑" w:hint="eastAsia"/>
          <w:color w:val="797979"/>
          <w:sz w:val="17"/>
          <w:szCs w:val="17"/>
        </w:rPr>
        <w:t>300</w:t>
      </w:r>
      <w:r>
        <w:rPr>
          <w:rFonts w:ascii="微软雅黑" w:eastAsia="微软雅黑" w:hAnsi="微软雅黑" w:hint="eastAsia"/>
          <w:color w:val="797979"/>
          <w:sz w:val="17"/>
          <w:szCs w:val="17"/>
        </w:rPr>
        <w:t>万元以上的，可申请认定为职能型总部企业。</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第九条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申请总部认定时尚未在我区满一个纳税年度的新设立企业，可参照该企业在原驻地纳税水平作为同等条件先行认定，待该企业迁入我区满一个纳税年度后，再行复核。</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第三章</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申报材料</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第十条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申请认定总部企业，应提交以下材料。</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（一）迁入金湾区满一</w:t>
      </w:r>
      <w:r>
        <w:rPr>
          <w:rFonts w:ascii="微软雅黑" w:eastAsia="微软雅黑" w:hAnsi="微软雅黑" w:hint="eastAsia"/>
          <w:color w:val="797979"/>
          <w:sz w:val="17"/>
          <w:szCs w:val="17"/>
        </w:rPr>
        <w:t>个纳税年度的，提交下列材料：</w:t>
      </w:r>
      <w:r>
        <w:rPr>
          <w:rFonts w:ascii="微软雅黑" w:eastAsia="微软雅黑" w:hAnsi="微软雅黑" w:hint="eastAsia"/>
          <w:color w:val="797979"/>
          <w:sz w:val="17"/>
          <w:szCs w:val="17"/>
        </w:rPr>
        <w:br/>
        <w:t>1.</w:t>
      </w:r>
      <w:r>
        <w:rPr>
          <w:rFonts w:ascii="微软雅黑" w:eastAsia="微软雅黑" w:hAnsi="微软雅黑" w:hint="eastAsia"/>
          <w:color w:val="797979"/>
          <w:sz w:val="17"/>
          <w:szCs w:val="17"/>
        </w:rPr>
        <w:t>公司法定代表人签署的《金湾区总部企业认定申请表》原件。</w:t>
      </w:r>
      <w:r>
        <w:rPr>
          <w:rFonts w:ascii="微软雅黑" w:eastAsia="微软雅黑" w:hAnsi="微软雅黑" w:hint="eastAsia"/>
          <w:color w:val="797979"/>
          <w:sz w:val="17"/>
          <w:szCs w:val="17"/>
        </w:rPr>
        <w:br/>
        <w:t>2.</w:t>
      </w:r>
      <w:r>
        <w:rPr>
          <w:rFonts w:ascii="微软雅黑" w:eastAsia="微软雅黑" w:hAnsi="微软雅黑" w:hint="eastAsia"/>
          <w:color w:val="797979"/>
          <w:sz w:val="17"/>
          <w:szCs w:val="17"/>
        </w:rPr>
        <w:t>公司法人代表签署的对本意见第五条第三款的承诺书原件。</w:t>
      </w:r>
      <w:r>
        <w:rPr>
          <w:rFonts w:ascii="微软雅黑" w:eastAsia="微软雅黑" w:hAnsi="微软雅黑" w:hint="eastAsia"/>
          <w:color w:val="797979"/>
          <w:sz w:val="17"/>
          <w:szCs w:val="17"/>
        </w:rPr>
        <w:br/>
        <w:t>3.</w:t>
      </w:r>
      <w:r>
        <w:rPr>
          <w:rFonts w:ascii="微软雅黑" w:eastAsia="微软雅黑" w:hAnsi="微软雅黑" w:hint="eastAsia"/>
          <w:color w:val="797979"/>
          <w:sz w:val="17"/>
          <w:szCs w:val="17"/>
        </w:rPr>
        <w:t>最新企业营业执照、组织机构代码证、税务登记证复印件（验原件）。</w:t>
      </w:r>
      <w:r>
        <w:rPr>
          <w:rFonts w:ascii="微软雅黑" w:eastAsia="微软雅黑" w:hAnsi="微软雅黑" w:hint="eastAsia"/>
          <w:color w:val="797979"/>
          <w:sz w:val="17"/>
          <w:szCs w:val="17"/>
        </w:rPr>
        <w:br/>
        <w:t>4.</w:t>
      </w:r>
      <w:r>
        <w:rPr>
          <w:rFonts w:ascii="微软雅黑" w:eastAsia="微软雅黑" w:hAnsi="微软雅黑" w:hint="eastAsia"/>
          <w:color w:val="797979"/>
          <w:sz w:val="17"/>
          <w:szCs w:val="17"/>
        </w:rPr>
        <w:t>提供我区税务部门出具的本企业上年度的纳税证明复印件（验原件）。</w:t>
      </w:r>
      <w:r>
        <w:rPr>
          <w:rFonts w:ascii="微软雅黑" w:eastAsia="微软雅黑" w:hAnsi="微软雅黑" w:hint="eastAsia"/>
          <w:color w:val="797979"/>
          <w:sz w:val="17"/>
          <w:szCs w:val="17"/>
        </w:rPr>
        <w:br/>
        <w:t>5.</w:t>
      </w:r>
      <w:r>
        <w:rPr>
          <w:rFonts w:ascii="微软雅黑" w:eastAsia="微软雅黑" w:hAnsi="微软雅黑" w:hint="eastAsia"/>
          <w:color w:val="797979"/>
          <w:sz w:val="17"/>
          <w:szCs w:val="17"/>
        </w:rPr>
        <w:t>经注册会计事务所审计的本企业上年度财务报表复印件（验原件）。</w:t>
      </w:r>
      <w:r>
        <w:rPr>
          <w:rFonts w:ascii="微软雅黑" w:eastAsia="微软雅黑" w:hAnsi="微软雅黑" w:hint="eastAsia"/>
          <w:color w:val="797979"/>
          <w:sz w:val="17"/>
          <w:szCs w:val="17"/>
        </w:rPr>
        <w:br/>
        <w:t>6.</w:t>
      </w:r>
      <w:r>
        <w:rPr>
          <w:rFonts w:ascii="微软雅黑" w:eastAsia="微软雅黑" w:hAnsi="微软雅黑" w:hint="eastAsia"/>
          <w:color w:val="797979"/>
          <w:sz w:val="17"/>
          <w:szCs w:val="17"/>
        </w:rPr>
        <w:t>下属企业名单（附企业营业执照、税务登记证和隶属关系证明）及财务资料复印件。</w:t>
      </w:r>
      <w:r>
        <w:rPr>
          <w:rFonts w:ascii="微软雅黑" w:eastAsia="微软雅黑" w:hAnsi="微软雅黑" w:hint="eastAsia"/>
          <w:color w:val="797979"/>
          <w:sz w:val="17"/>
          <w:szCs w:val="17"/>
        </w:rPr>
        <w:br/>
        <w:t>7.</w:t>
      </w:r>
      <w:r>
        <w:rPr>
          <w:rFonts w:ascii="微软雅黑" w:eastAsia="微软雅黑" w:hAnsi="微软雅黑" w:hint="eastAsia"/>
          <w:color w:val="797979"/>
          <w:sz w:val="17"/>
          <w:szCs w:val="17"/>
        </w:rPr>
        <w:t xml:space="preserve">其它相关证明文件。　</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（二）迁入金湾区未满一个纳税年度的，提交下列材料：</w:t>
      </w:r>
      <w:r>
        <w:rPr>
          <w:rFonts w:ascii="微软雅黑" w:eastAsia="微软雅黑" w:hAnsi="微软雅黑" w:hint="eastAsia"/>
          <w:color w:val="797979"/>
          <w:sz w:val="17"/>
          <w:szCs w:val="17"/>
        </w:rPr>
        <w:br/>
        <w:t>1.</w:t>
      </w:r>
      <w:r>
        <w:rPr>
          <w:rFonts w:ascii="微软雅黑" w:eastAsia="微软雅黑" w:hAnsi="微软雅黑" w:hint="eastAsia"/>
          <w:color w:val="797979"/>
          <w:sz w:val="17"/>
          <w:szCs w:val="17"/>
        </w:rPr>
        <w:t>公司法定代表人签署的《金湾区总部企业认定申请表》原件。</w:t>
      </w:r>
      <w:r>
        <w:rPr>
          <w:rFonts w:ascii="微软雅黑" w:eastAsia="微软雅黑" w:hAnsi="微软雅黑" w:hint="eastAsia"/>
          <w:color w:val="797979"/>
          <w:sz w:val="17"/>
          <w:szCs w:val="17"/>
        </w:rPr>
        <w:br/>
        <w:t>2.</w:t>
      </w:r>
      <w:r>
        <w:rPr>
          <w:rFonts w:ascii="微软雅黑" w:eastAsia="微软雅黑" w:hAnsi="微软雅黑" w:hint="eastAsia"/>
          <w:color w:val="797979"/>
          <w:sz w:val="17"/>
          <w:szCs w:val="17"/>
        </w:rPr>
        <w:t>公司法人代表签署的本企业迁入我区一年后达到总部企业认定条件的承诺书原件。</w:t>
      </w:r>
      <w:r>
        <w:rPr>
          <w:rFonts w:ascii="微软雅黑" w:eastAsia="微软雅黑" w:hAnsi="微软雅黑" w:hint="eastAsia"/>
          <w:color w:val="797979"/>
          <w:sz w:val="17"/>
          <w:szCs w:val="17"/>
        </w:rPr>
        <w:br/>
        <w:t>3.</w:t>
      </w:r>
      <w:r>
        <w:rPr>
          <w:rFonts w:ascii="微软雅黑" w:eastAsia="微软雅黑" w:hAnsi="微软雅黑" w:hint="eastAsia"/>
          <w:color w:val="797979"/>
          <w:sz w:val="17"/>
          <w:szCs w:val="17"/>
        </w:rPr>
        <w:t>企业营业执照、组织机构代码证、税务登记证复印件（验原件）。</w:t>
      </w:r>
      <w:r>
        <w:rPr>
          <w:rFonts w:ascii="微软雅黑" w:eastAsia="微软雅黑" w:hAnsi="微软雅黑" w:hint="eastAsia"/>
          <w:color w:val="797979"/>
          <w:sz w:val="17"/>
          <w:szCs w:val="17"/>
        </w:rPr>
        <w:br/>
        <w:t>4.</w:t>
      </w:r>
      <w:r>
        <w:rPr>
          <w:rFonts w:ascii="微软雅黑" w:eastAsia="微软雅黑" w:hAnsi="微软雅黑" w:hint="eastAsia"/>
          <w:color w:val="797979"/>
          <w:sz w:val="17"/>
          <w:szCs w:val="17"/>
        </w:rPr>
        <w:t>提供原驻地税务部门出具的本企业上年度纳税证明复印件（验原件）。</w:t>
      </w:r>
      <w:r>
        <w:rPr>
          <w:rFonts w:ascii="微软雅黑" w:eastAsia="微软雅黑" w:hAnsi="微软雅黑" w:hint="eastAsia"/>
          <w:color w:val="797979"/>
          <w:sz w:val="17"/>
          <w:szCs w:val="17"/>
        </w:rPr>
        <w:br/>
        <w:t>5.</w:t>
      </w:r>
      <w:r>
        <w:rPr>
          <w:rFonts w:ascii="微软雅黑" w:eastAsia="微软雅黑" w:hAnsi="微软雅黑" w:hint="eastAsia"/>
          <w:color w:val="797979"/>
          <w:sz w:val="17"/>
          <w:szCs w:val="17"/>
        </w:rPr>
        <w:t>经注册会计事务所审计的本企业上年度财务报表复印件（验原件）。</w:t>
      </w:r>
      <w:r>
        <w:rPr>
          <w:rFonts w:ascii="微软雅黑" w:eastAsia="微软雅黑" w:hAnsi="微软雅黑" w:hint="eastAsia"/>
          <w:color w:val="797979"/>
          <w:sz w:val="17"/>
          <w:szCs w:val="17"/>
        </w:rPr>
        <w:br/>
        <w:t>6.</w:t>
      </w:r>
      <w:r>
        <w:rPr>
          <w:rFonts w:ascii="微软雅黑" w:eastAsia="微软雅黑" w:hAnsi="微软雅黑" w:hint="eastAsia"/>
          <w:color w:val="797979"/>
          <w:sz w:val="17"/>
          <w:szCs w:val="17"/>
        </w:rPr>
        <w:t>下属企业名单（附企业营业执照、税务登记证和隶属关系证明）及财务资料复印件。</w:t>
      </w:r>
      <w:r>
        <w:rPr>
          <w:rFonts w:ascii="微软雅黑" w:eastAsia="微软雅黑" w:hAnsi="微软雅黑" w:hint="eastAsia"/>
          <w:color w:val="797979"/>
          <w:sz w:val="17"/>
          <w:szCs w:val="17"/>
        </w:rPr>
        <w:br/>
        <w:t>7.</w:t>
      </w:r>
      <w:r>
        <w:rPr>
          <w:rFonts w:ascii="微软雅黑" w:eastAsia="微软雅黑" w:hAnsi="微软雅黑" w:hint="eastAsia"/>
          <w:color w:val="797979"/>
          <w:sz w:val="17"/>
          <w:szCs w:val="17"/>
        </w:rPr>
        <w:t>其它相关证明文件。</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第四章</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认定程序</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第十一条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总部企业认定程序包括：申报、初审、复核、审定、公</w:t>
      </w:r>
      <w:r>
        <w:rPr>
          <w:rFonts w:ascii="微软雅黑" w:eastAsia="微软雅黑" w:hAnsi="微软雅黑" w:hint="eastAsia"/>
          <w:color w:val="797979"/>
          <w:sz w:val="17"/>
          <w:szCs w:val="17"/>
        </w:rPr>
        <w:t>示、发证等。</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（一）申报。申请总部企业认定的企业，</w:t>
      </w:r>
      <w:r>
        <w:rPr>
          <w:rFonts w:ascii="微软雅黑" w:eastAsia="微软雅黑" w:hAnsi="微软雅黑" w:hint="eastAsia"/>
          <w:color w:val="797979"/>
          <w:sz w:val="17"/>
          <w:szCs w:val="17"/>
        </w:rPr>
        <w:t>2016</w:t>
      </w:r>
      <w:r>
        <w:rPr>
          <w:rFonts w:ascii="微软雅黑" w:eastAsia="微软雅黑" w:hAnsi="微软雅黑" w:hint="eastAsia"/>
          <w:color w:val="797979"/>
          <w:sz w:val="17"/>
          <w:szCs w:val="17"/>
        </w:rPr>
        <w:t>年</w:t>
      </w:r>
      <w:r>
        <w:rPr>
          <w:rFonts w:ascii="微软雅黑" w:eastAsia="微软雅黑" w:hAnsi="微软雅黑" w:hint="eastAsia"/>
          <w:color w:val="797979"/>
          <w:sz w:val="17"/>
          <w:szCs w:val="17"/>
        </w:rPr>
        <w:t>1</w:t>
      </w:r>
      <w:r>
        <w:rPr>
          <w:rFonts w:ascii="微软雅黑" w:eastAsia="微软雅黑" w:hAnsi="微软雅黑" w:hint="eastAsia"/>
          <w:color w:val="797979"/>
          <w:sz w:val="17"/>
          <w:szCs w:val="17"/>
        </w:rPr>
        <w:t>月起可向注册所在镇投资管理部门提交申报材料。企业向区总部办要求提供申请表格和承诺书模板，按要求进行申报，并提供各</w:t>
      </w:r>
      <w:proofErr w:type="gramStart"/>
      <w:r>
        <w:rPr>
          <w:rFonts w:ascii="微软雅黑" w:eastAsia="微软雅黑" w:hAnsi="微软雅黑" w:hint="eastAsia"/>
          <w:color w:val="797979"/>
          <w:sz w:val="17"/>
          <w:szCs w:val="17"/>
        </w:rPr>
        <w:t>类有效</w:t>
      </w:r>
      <w:proofErr w:type="gramEnd"/>
      <w:r>
        <w:rPr>
          <w:rFonts w:ascii="微软雅黑" w:eastAsia="微软雅黑" w:hAnsi="微软雅黑" w:hint="eastAsia"/>
          <w:color w:val="797979"/>
          <w:sz w:val="17"/>
          <w:szCs w:val="17"/>
        </w:rPr>
        <w:t>证明材料。</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（二）初审。企业注册所在镇投资管理部门负责对总部企业的认定申请进行初审，出具初步意见报区招商局。</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（三）复核。区招商局负责复核各区上报的材料，出具复核意见报区总部经济工作领导小组。</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（四）审定。区总部经济工作领导小组审核和认定总部企业。</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（五）公示。将审定通过的总部企业名单在金湾区政府门户网站和《珠海特区报》等进行公示</w:t>
      </w:r>
      <w:r>
        <w:rPr>
          <w:rFonts w:ascii="微软雅黑" w:eastAsia="微软雅黑" w:hAnsi="微软雅黑" w:hint="eastAsia"/>
          <w:color w:val="797979"/>
          <w:sz w:val="17"/>
          <w:szCs w:val="17"/>
        </w:rPr>
        <w:t>。对公示有异议的企业，由区总部经济工作领导小组重新审核。</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（六）发证。对通过公示的企业由区政府发放总部企业认定证书。</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第五章</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监督管理</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第十二条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总部企业认定按批次进行，具体时间以区招商局相关公告为准。</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第十三条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经认定的总部企业有下列情况之一的，取消其总部企业资格，认定证书自行作废，优惠政策相应终止：</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（一）不再符合金湾区总部企业认定标准的；</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（二）以虚假资料申报认定总部企业资格的；</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（三）违反本办法第六条第三款规定的；</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（四）有其他严重违反国家法律法规行为的。</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第十四条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企业注册所在地投资管理部门负责</w:t>
      </w:r>
      <w:r>
        <w:rPr>
          <w:rFonts w:ascii="微软雅黑" w:eastAsia="微软雅黑" w:hAnsi="微软雅黑" w:hint="eastAsia"/>
          <w:color w:val="797979"/>
          <w:sz w:val="17"/>
          <w:szCs w:val="17"/>
        </w:rPr>
        <w:t>每年对总部企业进行复核，并将复核结果报区总部办备案。新设立总部企业迁入我区满一个纳税年度后，经复核确认不满足认定条件的；已认定总部企业因情况变化不再符合认定条件的，经区总部经济工作领导小组确认，取消其总部企业资格，并停止其享受相关优惠政策。</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第六章</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附则</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第十五条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本办法自发布之日起实施，有效期截止</w:t>
      </w:r>
      <w:r>
        <w:rPr>
          <w:rFonts w:ascii="微软雅黑" w:eastAsia="微软雅黑" w:hAnsi="微软雅黑" w:hint="eastAsia"/>
          <w:color w:val="797979"/>
          <w:sz w:val="17"/>
          <w:szCs w:val="17"/>
        </w:rPr>
        <w:t>2019</w:t>
      </w:r>
      <w:r>
        <w:rPr>
          <w:rFonts w:ascii="微软雅黑" w:eastAsia="微软雅黑" w:hAnsi="微软雅黑" w:hint="eastAsia"/>
          <w:color w:val="797979"/>
          <w:sz w:val="17"/>
          <w:szCs w:val="17"/>
        </w:rPr>
        <w:t>年</w:t>
      </w:r>
      <w:r>
        <w:rPr>
          <w:rFonts w:ascii="微软雅黑" w:eastAsia="微软雅黑" w:hAnsi="微软雅黑" w:hint="eastAsia"/>
          <w:color w:val="797979"/>
          <w:sz w:val="17"/>
          <w:szCs w:val="17"/>
        </w:rPr>
        <w:t>12</w:t>
      </w:r>
      <w:r>
        <w:rPr>
          <w:rFonts w:ascii="微软雅黑" w:eastAsia="微软雅黑" w:hAnsi="微软雅黑" w:hint="eastAsia"/>
          <w:color w:val="797979"/>
          <w:sz w:val="17"/>
          <w:szCs w:val="17"/>
        </w:rPr>
        <w:t>月</w:t>
      </w:r>
      <w:r>
        <w:rPr>
          <w:rFonts w:ascii="微软雅黑" w:eastAsia="微软雅黑" w:hAnsi="微软雅黑" w:hint="eastAsia"/>
          <w:color w:val="797979"/>
          <w:sz w:val="17"/>
          <w:szCs w:val="17"/>
        </w:rPr>
        <w:t>31</w:t>
      </w:r>
      <w:r>
        <w:rPr>
          <w:rFonts w:ascii="微软雅黑" w:eastAsia="微软雅黑" w:hAnsi="微软雅黑" w:hint="eastAsia"/>
          <w:color w:val="797979"/>
          <w:sz w:val="17"/>
          <w:szCs w:val="17"/>
        </w:rPr>
        <w:t>日。有效期届满或有关法律及政策依据变化的，根据实施情况依法评估修订。</w:t>
      </w:r>
      <w:r>
        <w:rPr>
          <w:rFonts w:ascii="微软雅黑" w:eastAsia="微软雅黑" w:hAnsi="微软雅黑" w:hint="eastAsia"/>
          <w:color w:val="797979"/>
          <w:sz w:val="17"/>
          <w:szCs w:val="17"/>
        </w:rPr>
        <w:br/>
      </w:r>
      <w:r>
        <w:rPr>
          <w:rFonts w:ascii="微软雅黑" w:eastAsia="微软雅黑" w:hAnsi="微软雅黑" w:hint="eastAsia"/>
          <w:color w:val="797979"/>
          <w:sz w:val="17"/>
          <w:szCs w:val="17"/>
        </w:rPr>
        <w:t>第十六条</w:t>
      </w:r>
      <w:r>
        <w:rPr>
          <w:rFonts w:ascii="微软雅黑" w:eastAsia="微软雅黑" w:hAnsi="微软雅黑" w:hint="eastAsia"/>
          <w:color w:val="797979"/>
          <w:sz w:val="17"/>
          <w:szCs w:val="17"/>
        </w:rPr>
        <w:t xml:space="preserve">  </w:t>
      </w:r>
      <w:r>
        <w:rPr>
          <w:rFonts w:ascii="微软雅黑" w:eastAsia="微软雅黑" w:hAnsi="微软雅黑" w:hint="eastAsia"/>
          <w:color w:val="797979"/>
          <w:sz w:val="17"/>
          <w:szCs w:val="17"/>
        </w:rPr>
        <w:t>本办法由区招商局负责解释。</w:t>
      </w:r>
      <w:r>
        <w:rPr>
          <w:rFonts w:ascii="微软雅黑" w:eastAsia="微软雅黑" w:hAnsi="微软雅黑" w:hint="eastAsia"/>
          <w:color w:val="797979"/>
          <w:sz w:val="17"/>
          <w:szCs w:val="17"/>
        </w:rPr>
        <w:t xml:space="preserve"> </w:t>
      </w:r>
    </w:p>
    <w:sectPr w:rsidR="00000000">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E3E35"/>
    <w:multiLevelType w:val="multilevel"/>
    <w:tmpl w:val="7574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20"/>
  <w:noPunctuationKerning/>
  <w:characterSpacingControl w:val="doNotCompress"/>
  <w:compat>
    <w:useFELayout/>
  </w:compat>
  <w:rsids>
    <w:rsidRoot w:val="00C96B89"/>
    <w:rsid w:val="005666CF"/>
    <w:rsid w:val="00C96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2">
    <w:name w:val="heading 2"/>
    <w:basedOn w:val="a"/>
    <w:link w:val="2Char"/>
    <w:uiPriority w:val="9"/>
    <w:qFormat/>
    <w:pPr>
      <w:outlineLvl w:val="1"/>
    </w:pPr>
    <w:rPr>
      <w:color w:val="333333"/>
      <w:sz w:val="25"/>
      <w:szCs w:val="25"/>
    </w:rPr>
  </w:style>
  <w:style w:type="paragraph" w:styleId="3">
    <w:name w:val="heading 3"/>
    <w:basedOn w:val="a"/>
    <w:link w:val="3Char"/>
    <w:uiPriority w:val="9"/>
    <w:qFormat/>
    <w:pPr>
      <w:outlineLvl w:val="2"/>
    </w:pPr>
    <w:rPr>
      <w:color w:val="333333"/>
      <w:sz w:val="22"/>
      <w:szCs w:val="22"/>
    </w:rPr>
  </w:style>
  <w:style w:type="paragraph" w:styleId="4">
    <w:name w:val="heading 4"/>
    <w:basedOn w:val="a"/>
    <w:link w:val="4Char"/>
    <w:uiPriority w:val="9"/>
    <w:qFormat/>
    <w:pPr>
      <w:outlineLvl w:val="3"/>
    </w:pPr>
    <w:rPr>
      <w:b/>
      <w:bCs/>
    </w:rPr>
  </w:style>
  <w:style w:type="paragraph" w:styleId="5">
    <w:name w:val="heading 5"/>
    <w:basedOn w:val="a"/>
    <w:link w:val="5Char"/>
    <w:uiPriority w:val="9"/>
    <w:qFormat/>
    <w:pPr>
      <w:spacing w:before="100" w:beforeAutospacing="1" w:after="100" w:afterAutospacing="1"/>
      <w:outlineLvl w:val="4"/>
    </w:pPr>
    <w:rPr>
      <w:b/>
      <w:bCs/>
      <w:sz w:val="14"/>
      <w:szCs w:val="14"/>
    </w:rPr>
  </w:style>
  <w:style w:type="paragraph" w:styleId="6">
    <w:name w:val="heading 6"/>
    <w:basedOn w:val="a"/>
    <w:link w:val="6Char"/>
    <w:uiPriority w:val="9"/>
    <w:qFormat/>
    <w:pPr>
      <w:spacing w:before="100" w:beforeAutospacing="1" w:after="100" w:afterAutospacing="1"/>
      <w:outlineLvl w:val="5"/>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666666"/>
      <w:u w:val="none"/>
      <w:effect w:val="none"/>
      <w:bdr w:val="none" w:sz="0" w:space="0" w:color="auto" w:frame="1"/>
    </w:rPr>
  </w:style>
  <w:style w:type="character" w:styleId="a4">
    <w:name w:val="FollowedHyperlink"/>
    <w:basedOn w:val="a0"/>
    <w:uiPriority w:val="99"/>
    <w:semiHidden/>
    <w:unhideWhenUsed/>
    <w:rPr>
      <w:strike w:val="0"/>
      <w:dstrike w:val="0"/>
      <w:color w:val="666666"/>
      <w:u w:val="none"/>
      <w:effect w:val="none"/>
      <w:bdr w:val="none" w:sz="0" w:space="0" w:color="auto" w:frame="1"/>
    </w:rPr>
  </w:style>
  <w:style w:type="character" w:styleId="HTML">
    <w:name w:val="HTML Code"/>
    <w:basedOn w:val="a0"/>
    <w:uiPriority w:val="99"/>
    <w:semiHidden/>
    <w:unhideWhenUsed/>
    <w:rPr>
      <w:rFonts w:ascii="宋体" w:eastAsia="宋体" w:hAnsi="宋体" w:cs="宋体"/>
      <w:sz w:val="24"/>
      <w:szCs w:val="2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Pr>
      <w:rFonts w:ascii="宋体" w:eastAsia="宋体" w:hAnsi="宋体" w:cs="宋体"/>
      <w:b/>
      <w:bCs/>
      <w:sz w:val="28"/>
      <w:szCs w:val="28"/>
    </w:rPr>
  </w:style>
  <w:style w:type="character" w:customStyle="1" w:styleId="6Char">
    <w:name w:val="标题 6 Char"/>
    <w:basedOn w:val="a0"/>
    <w:link w:val="6"/>
    <w:uiPriority w:val="9"/>
    <w:semiHidden/>
    <w:rPr>
      <w:rFonts w:asciiTheme="majorHAnsi" w:eastAsiaTheme="majorEastAsia" w:hAnsiTheme="majorHAnsi" w:cstheme="majorBidi"/>
      <w:b/>
      <w:bCs/>
      <w:sz w:val="24"/>
      <w:szCs w:val="24"/>
    </w:rPr>
  </w:style>
  <w:style w:type="character" w:styleId="a5">
    <w:name w:val="Strong"/>
    <w:basedOn w:val="a0"/>
    <w:uiPriority w:val="22"/>
    <w:qFormat/>
    <w:rPr>
      <w:b/>
      <w:bCs/>
    </w:rPr>
  </w:style>
  <w:style w:type="paragraph" w:styleId="a6">
    <w:name w:val="Normal (Web)"/>
    <w:basedOn w:val="a"/>
    <w:uiPriority w:val="99"/>
    <w:semiHidden/>
    <w:unhideWhenUsed/>
  </w:style>
  <w:style w:type="paragraph" w:customStyle="1" w:styleId="body">
    <w:name w:val="body"/>
    <w:basedOn w:val="a"/>
    <w:pPr>
      <w:shd w:val="clear" w:color="auto" w:fill="2D4255"/>
    </w:pPr>
  </w:style>
  <w:style w:type="paragraph" w:customStyle="1" w:styleId="ico">
    <w:name w:val="ico"/>
    <w:basedOn w:val="a"/>
  </w:style>
  <w:style w:type="paragraph" w:customStyle="1" w:styleId="header">
    <w:name w:val="header"/>
    <w:basedOn w:val="a"/>
    <w:pPr>
      <w:pBdr>
        <w:bottom w:val="single" w:sz="12" w:space="0" w:color="0B5B98"/>
      </w:pBdr>
      <w:shd w:val="clear" w:color="auto" w:fill="FFFFFF"/>
    </w:pPr>
  </w:style>
  <w:style w:type="paragraph" w:customStyle="1" w:styleId="search">
    <w:name w:val="search"/>
    <w:basedOn w:val="a"/>
    <w:pPr>
      <w:spacing w:before="120"/>
    </w:pPr>
  </w:style>
  <w:style w:type="paragraph" w:customStyle="1" w:styleId="banner">
    <w:name w:val="banner"/>
    <w:basedOn w:val="a"/>
  </w:style>
  <w:style w:type="paragraph" w:customStyle="1" w:styleId="crumb">
    <w:name w:val="crumb"/>
    <w:basedOn w:val="a"/>
    <w:pPr>
      <w:pBdr>
        <w:bottom w:val="single" w:sz="4" w:space="0" w:color="DADBDB"/>
      </w:pBdr>
      <w:shd w:val="clear" w:color="auto" w:fill="EDEDEE"/>
      <w:spacing w:line="408" w:lineRule="atLeast"/>
    </w:pPr>
  </w:style>
  <w:style w:type="paragraph" w:customStyle="1" w:styleId="left">
    <w:name w:val="left"/>
    <w:basedOn w:val="a"/>
    <w:pPr>
      <w:spacing w:before="300"/>
    </w:pPr>
  </w:style>
  <w:style w:type="paragraph" w:customStyle="1" w:styleId="right">
    <w:name w:val="right"/>
    <w:basedOn w:val="a"/>
    <w:pPr>
      <w:spacing w:before="420"/>
    </w:pPr>
  </w:style>
  <w:style w:type="paragraph" w:customStyle="1" w:styleId="parkmod5">
    <w:name w:val="park_mod5"/>
    <w:basedOn w:val="a"/>
    <w:pPr>
      <w:spacing w:before="420"/>
    </w:pPr>
  </w:style>
  <w:style w:type="paragraph" w:customStyle="1" w:styleId="phots">
    <w:name w:val="phots"/>
    <w:basedOn w:val="a"/>
  </w:style>
  <w:style w:type="paragraph" w:customStyle="1" w:styleId="footer">
    <w:name w:val="footer"/>
    <w:basedOn w:val="a"/>
    <w:pPr>
      <w:pBdr>
        <w:top w:val="single" w:sz="4" w:space="3" w:color="DDDDDD"/>
      </w:pBdr>
      <w:shd w:val="clear" w:color="auto" w:fill="FFFFFF"/>
      <w:spacing w:line="240" w:lineRule="atLeast"/>
      <w:jc w:val="center"/>
    </w:pPr>
    <w:rPr>
      <w:sz w:val="14"/>
      <w:szCs w:val="14"/>
    </w:rPr>
  </w:style>
  <w:style w:type="paragraph" w:customStyle="1" w:styleId="content">
    <w:name w:val="content"/>
    <w:basedOn w:val="a"/>
  </w:style>
  <w:style w:type="paragraph" w:customStyle="1" w:styleId="main">
    <w:name w:val="main"/>
    <w:basedOn w:val="a"/>
  </w:style>
  <w:style w:type="paragraph" w:customStyle="1" w:styleId="top">
    <w:name w:val="top"/>
    <w:basedOn w:val="a"/>
  </w:style>
  <w:style w:type="paragraph" w:customStyle="1" w:styleId="index-search">
    <w:name w:val="index-search"/>
    <w:basedOn w:val="a"/>
    <w:pPr>
      <w:spacing w:before="60"/>
    </w:pPr>
    <w:rPr>
      <w:sz w:val="14"/>
      <w:szCs w:val="14"/>
    </w:rPr>
  </w:style>
  <w:style w:type="paragraph" w:customStyle="1" w:styleId="phone">
    <w:name w:val="phone"/>
    <w:basedOn w:val="a"/>
    <w:pPr>
      <w:jc w:val="center"/>
    </w:pPr>
    <w:rPr>
      <w:vanish/>
    </w:rPr>
  </w:style>
  <w:style w:type="paragraph" w:customStyle="1" w:styleId="index-logo">
    <w:name w:val="index-logo"/>
    <w:basedOn w:val="a"/>
  </w:style>
  <w:style w:type="paragraph" w:customStyle="1" w:styleId="index-content">
    <w:name w:val="index-content"/>
    <w:basedOn w:val="a"/>
    <w:pPr>
      <w:spacing w:before="120"/>
    </w:pPr>
  </w:style>
  <w:style w:type="paragraph" w:customStyle="1" w:styleId="index-con">
    <w:name w:val="index-con"/>
    <w:basedOn w:val="a"/>
  </w:style>
  <w:style w:type="paragraph" w:customStyle="1" w:styleId="news-txt">
    <w:name w:val="news-txt"/>
    <w:basedOn w:val="a"/>
    <w:pPr>
      <w:ind w:left="7140"/>
    </w:pPr>
  </w:style>
  <w:style w:type="paragraph" w:customStyle="1" w:styleId="news-list">
    <w:name w:val="news-list"/>
    <w:basedOn w:val="a"/>
  </w:style>
  <w:style w:type="paragraph" w:customStyle="1" w:styleId="index-txt">
    <w:name w:val="index-txt"/>
    <w:basedOn w:val="a"/>
  </w:style>
  <w:style w:type="paragraph" w:customStyle="1" w:styleId="ico-more">
    <w:name w:val="ico-more"/>
    <w:basedOn w:val="a"/>
    <w:pPr>
      <w:spacing w:line="240" w:lineRule="atLeast"/>
    </w:pPr>
    <w:rPr>
      <w:color w:val="606264"/>
      <w:sz w:val="14"/>
      <w:szCs w:val="14"/>
    </w:rPr>
  </w:style>
  <w:style w:type="paragraph" w:customStyle="1" w:styleId="lay-left">
    <w:name w:val="lay-left"/>
    <w:basedOn w:val="a"/>
  </w:style>
  <w:style w:type="paragraph" w:customStyle="1" w:styleId="index-footer">
    <w:name w:val="index-footer"/>
    <w:basedOn w:val="a"/>
    <w:pPr>
      <w:spacing w:before="60"/>
      <w:jc w:val="center"/>
    </w:pPr>
    <w:rPr>
      <w:color w:val="FFFFFF"/>
      <w:sz w:val="14"/>
      <w:szCs w:val="14"/>
    </w:rPr>
  </w:style>
  <w:style w:type="paragraph" w:customStyle="1" w:styleId="more-list">
    <w:name w:val="more-list"/>
    <w:basedOn w:val="a"/>
    <w:pPr>
      <w:ind w:left="-216"/>
    </w:pPr>
  </w:style>
  <w:style w:type="paragraph" w:customStyle="1" w:styleId="nav">
    <w:name w:val="nav"/>
    <w:basedOn w:val="a"/>
  </w:style>
  <w:style w:type="paragraph" w:customStyle="1" w:styleId="more-zt">
    <w:name w:val="more-zt"/>
    <w:basedOn w:val="a"/>
  </w:style>
  <w:style w:type="paragraph" w:customStyle="1" w:styleId="bg-color">
    <w:name w:val="bg-color"/>
    <w:basedOn w:val="a"/>
    <w:pPr>
      <w:shd w:val="clear" w:color="auto" w:fill="F2F2F2"/>
    </w:pPr>
  </w:style>
  <w:style w:type="paragraph" w:customStyle="1" w:styleId="right1">
    <w:name w:val="right1"/>
    <w:basedOn w:val="a"/>
    <w:pPr>
      <w:spacing w:before="420"/>
    </w:pPr>
  </w:style>
  <w:style w:type="paragraph" w:customStyle="1" w:styleId="min-banners">
    <w:name w:val="min-banners"/>
    <w:basedOn w:val="a"/>
    <w:pPr>
      <w:pBdr>
        <w:bottom w:val="single" w:sz="4" w:space="0" w:color="82B0D1"/>
      </w:pBdr>
    </w:pPr>
  </w:style>
  <w:style w:type="paragraph" w:customStyle="1" w:styleId="min-banner">
    <w:name w:val="min-banner"/>
    <w:basedOn w:val="a"/>
  </w:style>
  <w:style w:type="paragraph" w:customStyle="1" w:styleId="banner02">
    <w:name w:val="banner02"/>
    <w:basedOn w:val="a"/>
  </w:style>
  <w:style w:type="paragraph" w:customStyle="1" w:styleId="com-left">
    <w:name w:val="com-left"/>
    <w:basedOn w:val="a"/>
    <w:pPr>
      <w:spacing w:before="360"/>
    </w:pPr>
  </w:style>
  <w:style w:type="paragraph" w:customStyle="1" w:styleId="com-info">
    <w:name w:val="com-info"/>
    <w:basedOn w:val="a"/>
  </w:style>
  <w:style w:type="paragraph" w:customStyle="1" w:styleId="com-right">
    <w:name w:val="com-right"/>
    <w:basedOn w:val="a"/>
    <w:pPr>
      <w:spacing w:before="360"/>
    </w:pPr>
  </w:style>
  <w:style w:type="paragraph" w:customStyle="1" w:styleId="right-con">
    <w:name w:val="right-con"/>
    <w:basedOn w:val="a"/>
    <w:pPr>
      <w:shd w:val="clear" w:color="auto" w:fill="5397D0"/>
      <w:spacing w:after="240"/>
    </w:pPr>
  </w:style>
  <w:style w:type="paragraph" w:customStyle="1" w:styleId="com-banners">
    <w:name w:val="com-banners"/>
    <w:basedOn w:val="a"/>
    <w:pPr>
      <w:spacing w:before="480" w:after="360"/>
    </w:pPr>
  </w:style>
  <w:style w:type="paragraph" w:customStyle="1" w:styleId="ban-left">
    <w:name w:val="ban-left"/>
    <w:basedOn w:val="a"/>
  </w:style>
  <w:style w:type="paragraph" w:customStyle="1" w:styleId="b-btn">
    <w:name w:val="b-btn"/>
    <w:basedOn w:val="a"/>
  </w:style>
  <w:style w:type="paragraph" w:customStyle="1" w:styleId="b-title">
    <w:name w:val="b-title"/>
    <w:basedOn w:val="a"/>
    <w:pPr>
      <w:jc w:val="center"/>
    </w:pPr>
    <w:rPr>
      <w:color w:val="FFFFFF"/>
      <w:sz w:val="31"/>
      <w:szCs w:val="31"/>
    </w:rPr>
  </w:style>
  <w:style w:type="paragraph" w:customStyle="1" w:styleId="con-photo">
    <w:name w:val="con-photo"/>
    <w:basedOn w:val="a"/>
  </w:style>
  <w:style w:type="paragraph" w:customStyle="1" w:styleId="pagenav">
    <w:name w:val="pagenav"/>
    <w:basedOn w:val="a"/>
    <w:pPr>
      <w:spacing w:before="240" w:line="336" w:lineRule="atLeast"/>
      <w:jc w:val="right"/>
    </w:pPr>
    <w:rPr>
      <w:color w:val="888888"/>
      <w:sz w:val="14"/>
      <w:szCs w:val="14"/>
    </w:rPr>
  </w:style>
  <w:style w:type="paragraph" w:customStyle="1" w:styleId="pro-cont">
    <w:name w:val="pro-cont"/>
    <w:basedOn w:val="a"/>
  </w:style>
  <w:style w:type="paragraph" w:customStyle="1" w:styleId="pro-title">
    <w:name w:val="pro-title"/>
    <w:basedOn w:val="a"/>
    <w:pPr>
      <w:jc w:val="center"/>
    </w:pPr>
  </w:style>
  <w:style w:type="paragraph" w:customStyle="1" w:styleId="jw-box">
    <w:name w:val="jw-box"/>
    <w:basedOn w:val="a"/>
    <w:pPr>
      <w:shd w:val="clear" w:color="auto" w:fill="FBF4EC"/>
    </w:pPr>
  </w:style>
  <w:style w:type="paragraph" w:customStyle="1" w:styleId="box2">
    <w:name w:val="box2"/>
    <w:basedOn w:val="a"/>
    <w:pPr>
      <w:spacing w:before="420"/>
    </w:pPr>
  </w:style>
  <w:style w:type="paragraph" w:customStyle="1" w:styleId="jw-title2">
    <w:name w:val="jw-title2"/>
    <w:basedOn w:val="a"/>
  </w:style>
  <w:style w:type="paragraph" w:customStyle="1" w:styleId="jw-title3">
    <w:name w:val="jw-title3"/>
    <w:basedOn w:val="a"/>
  </w:style>
  <w:style w:type="paragraph" w:customStyle="1" w:styleId="thimg">
    <w:name w:val="thimg"/>
    <w:basedOn w:val="a"/>
  </w:style>
  <w:style w:type="paragraph" w:customStyle="1" w:styleId="thinfo">
    <w:name w:val="thinfo"/>
    <w:basedOn w:val="a"/>
    <w:pPr>
      <w:ind w:left="120"/>
    </w:pPr>
    <w:rPr>
      <w:color w:val="333333"/>
    </w:rPr>
  </w:style>
  <w:style w:type="paragraph" w:customStyle="1" w:styleId="box4">
    <w:name w:val="box4"/>
    <w:basedOn w:val="a"/>
  </w:style>
  <w:style w:type="paragraph" w:customStyle="1" w:styleId="ulshow">
    <w:name w:val="ulshow"/>
    <w:basedOn w:val="a"/>
    <w:pPr>
      <w:spacing w:before="240" w:after="240"/>
    </w:pPr>
  </w:style>
  <w:style w:type="paragraph" w:customStyle="1" w:styleId="mbx">
    <w:name w:val="mbx"/>
    <w:basedOn w:val="a"/>
    <w:pPr>
      <w:spacing w:before="120"/>
    </w:pPr>
    <w:rPr>
      <w:color w:val="777777"/>
    </w:rPr>
  </w:style>
  <w:style w:type="paragraph" w:customStyle="1" w:styleId="crum">
    <w:name w:val="crum"/>
    <w:basedOn w:val="a"/>
  </w:style>
  <w:style w:type="paragraph" w:customStyle="1" w:styleId="view-con">
    <w:name w:val="view-con"/>
    <w:basedOn w:val="a"/>
    <w:pPr>
      <w:pBdr>
        <w:top w:val="single" w:sz="4" w:space="0" w:color="E4E4E3"/>
        <w:left w:val="single" w:sz="4" w:space="0" w:color="E4E4E3"/>
        <w:bottom w:val="single" w:sz="4" w:space="0" w:color="E4E4E3"/>
        <w:right w:val="single" w:sz="4" w:space="0" w:color="E4E4E3"/>
      </w:pBdr>
      <w:shd w:val="clear" w:color="auto" w:fill="FFFFFF"/>
      <w:spacing w:before="96" w:after="360"/>
    </w:pPr>
  </w:style>
  <w:style w:type="paragraph" w:customStyle="1" w:styleId="articletit">
    <w:name w:val="article_tit"/>
    <w:basedOn w:val="a"/>
    <w:pPr>
      <w:pBdr>
        <w:bottom w:val="dashed" w:sz="4" w:space="3" w:color="D9D9D9"/>
      </w:pBdr>
      <w:ind w:left="420" w:right="420"/>
      <w:jc w:val="center"/>
    </w:pPr>
  </w:style>
  <w:style w:type="paragraph" w:customStyle="1" w:styleId="bdshare-button-style0-16">
    <w:name w:val="bdshare-button-style0-16"/>
    <w:basedOn w:val="a"/>
  </w:style>
  <w:style w:type="paragraph" w:customStyle="1" w:styleId="articleinfo">
    <w:name w:val="article_info"/>
    <w:basedOn w:val="a"/>
    <w:pPr>
      <w:spacing w:after="420" w:line="288" w:lineRule="atLeast"/>
      <w:ind w:left="420" w:right="420"/>
    </w:pPr>
    <w:rPr>
      <w:color w:val="797979"/>
    </w:rPr>
  </w:style>
  <w:style w:type="paragraph" w:customStyle="1" w:styleId="leader-info">
    <w:name w:val="leader-info"/>
    <w:basedOn w:val="a"/>
    <w:pPr>
      <w:pBdr>
        <w:top w:val="single" w:sz="4" w:space="15" w:color="DDDDDD"/>
        <w:left w:val="single" w:sz="4" w:space="15" w:color="DDDDDD"/>
        <w:bottom w:val="single" w:sz="4" w:space="15" w:color="DDDDDD"/>
        <w:right w:val="single" w:sz="4" w:space="15" w:color="DDDDDD"/>
      </w:pBdr>
      <w:shd w:val="clear" w:color="auto" w:fill="FFFFFF"/>
      <w:spacing w:after="180"/>
    </w:pPr>
  </w:style>
  <w:style w:type="paragraph" w:customStyle="1" w:styleId="l-img">
    <w:name w:val="l-img"/>
    <w:basedOn w:val="a"/>
  </w:style>
  <w:style w:type="paragraph" w:customStyle="1" w:styleId="l-txt">
    <w:name w:val="l-txt"/>
    <w:basedOn w:val="a"/>
    <w:pPr>
      <w:ind w:left="180"/>
    </w:pPr>
  </w:style>
  <w:style w:type="paragraph" w:customStyle="1" w:styleId="bdsharebuttonbox">
    <w:name w:val="bdsharebuttonbox"/>
    <w:basedOn w:val="a"/>
  </w:style>
  <w:style w:type="paragraph" w:customStyle="1" w:styleId="newleft">
    <w:name w:val="newleft"/>
    <w:basedOn w:val="a"/>
    <w:pPr>
      <w:shd w:val="clear" w:color="auto" w:fill="FA6B40"/>
    </w:pPr>
  </w:style>
  <w:style w:type="paragraph" w:customStyle="1" w:styleId="showcontent">
    <w:name w:val="show_content"/>
    <w:basedOn w:val="a"/>
    <w:pPr>
      <w:spacing w:line="288" w:lineRule="atLeast"/>
      <w:jc w:val="center"/>
    </w:pPr>
  </w:style>
  <w:style w:type="paragraph" w:customStyle="1" w:styleId="info-title">
    <w:name w:val="info-title"/>
    <w:basedOn w:val="a"/>
    <w:rPr>
      <w:color w:val="555555"/>
      <w:sz w:val="29"/>
      <w:szCs w:val="29"/>
    </w:rPr>
  </w:style>
  <w:style w:type="paragraph" w:customStyle="1" w:styleId="info-about">
    <w:name w:val="info-about"/>
    <w:basedOn w:val="a"/>
    <w:rPr>
      <w:color w:val="AAAAAA"/>
      <w:sz w:val="14"/>
      <w:szCs w:val="14"/>
    </w:rPr>
  </w:style>
  <w:style w:type="paragraph" w:customStyle="1" w:styleId="info-view">
    <w:name w:val="info-view"/>
    <w:basedOn w:val="a"/>
    <w:pPr>
      <w:pBdr>
        <w:top w:val="single" w:sz="4" w:space="9" w:color="DDDDDD"/>
      </w:pBdr>
      <w:spacing w:before="420"/>
    </w:pPr>
  </w:style>
  <w:style w:type="paragraph" w:customStyle="1" w:styleId="gov-banner">
    <w:name w:val="gov-banner"/>
    <w:basedOn w:val="a"/>
    <w:pPr>
      <w:pBdr>
        <w:top w:val="single" w:sz="4" w:space="0" w:color="DDDDDD"/>
        <w:left w:val="single" w:sz="4" w:space="0" w:color="DDDDDD"/>
        <w:bottom w:val="single" w:sz="4" w:space="0" w:color="DDDDDD"/>
        <w:right w:val="single" w:sz="4" w:space="0" w:color="DDDDDD"/>
      </w:pBdr>
      <w:spacing w:before="240" w:after="240"/>
    </w:pPr>
  </w:style>
  <w:style w:type="paragraph" w:customStyle="1" w:styleId="gov-cont">
    <w:name w:val="gov-cont"/>
    <w:basedOn w:val="a"/>
    <w:pPr>
      <w:spacing w:before="180" w:after="180"/>
    </w:pPr>
  </w:style>
  <w:style w:type="paragraph" w:customStyle="1" w:styleId="cont-left">
    <w:name w:val="cont-left"/>
    <w:basedOn w:val="a"/>
  </w:style>
  <w:style w:type="paragraph" w:customStyle="1" w:styleId="cont-right">
    <w:name w:val="cont-right"/>
    <w:basedOn w:val="a"/>
  </w:style>
  <w:style w:type="paragraph" w:customStyle="1" w:styleId="right-box">
    <w:name w:val="right-box"/>
    <w:basedOn w:val="a"/>
  </w:style>
  <w:style w:type="paragraph" w:customStyle="1" w:styleId="box-btn">
    <w:name w:val="box-btn"/>
    <w:basedOn w:val="a"/>
    <w:pPr>
      <w:spacing w:before="60"/>
    </w:pPr>
  </w:style>
  <w:style w:type="paragraph" w:customStyle="1" w:styleId="min-left">
    <w:name w:val="min-left"/>
    <w:basedOn w:val="a"/>
    <w:pPr>
      <w:spacing w:before="168"/>
    </w:pPr>
  </w:style>
  <w:style w:type="paragraph" w:customStyle="1" w:styleId="min-right">
    <w:name w:val="min-right"/>
    <w:basedOn w:val="a"/>
    <w:pPr>
      <w:spacing w:before="168"/>
    </w:pPr>
  </w:style>
  <w:style w:type="paragraph" w:customStyle="1" w:styleId="co-edit">
    <w:name w:val="co-edit"/>
    <w:basedOn w:val="a"/>
    <w:pPr>
      <w:shd w:val="clear" w:color="auto" w:fill="E3F2FD"/>
    </w:pPr>
  </w:style>
  <w:style w:type="paragraph" w:customStyle="1" w:styleId="r-edit">
    <w:name w:val="r-edit"/>
    <w:basedOn w:val="a"/>
  </w:style>
  <w:style w:type="paragraph" w:customStyle="1" w:styleId="lw-edit">
    <w:name w:val="lw-edit"/>
    <w:basedOn w:val="a"/>
  </w:style>
  <w:style w:type="paragraph" w:customStyle="1" w:styleId="diaocfonth">
    <w:name w:val="diaoc_fonth"/>
    <w:basedOn w:val="a"/>
    <w:pPr>
      <w:spacing w:line="360" w:lineRule="atLeast"/>
      <w:jc w:val="center"/>
    </w:pPr>
    <w:rPr>
      <w:b/>
      <w:bCs/>
      <w:color w:val="F73F08"/>
      <w:spacing w:val="60"/>
      <w:sz w:val="22"/>
      <w:szCs w:val="22"/>
    </w:rPr>
  </w:style>
  <w:style w:type="paragraph" w:customStyle="1" w:styleId="diaocfonth02">
    <w:name w:val="diaoc_fonth02"/>
    <w:basedOn w:val="a"/>
    <w:pPr>
      <w:spacing w:line="300" w:lineRule="atLeast"/>
    </w:pPr>
    <w:rPr>
      <w:color w:val="4F4F4F"/>
      <w:sz w:val="14"/>
      <w:szCs w:val="14"/>
    </w:rPr>
  </w:style>
  <w:style w:type="paragraph" w:customStyle="1" w:styleId="listcontent">
    <w:name w:val="list_content"/>
    <w:basedOn w:val="a"/>
    <w:rPr>
      <w:color w:val="4F4F4F"/>
      <w:sz w:val="14"/>
      <w:szCs w:val="14"/>
    </w:rPr>
  </w:style>
  <w:style w:type="paragraph" w:customStyle="1" w:styleId="col-2-2">
    <w:name w:val="col-2-2"/>
    <w:basedOn w:val="a"/>
    <w:pPr>
      <w:shd w:val="clear" w:color="auto" w:fill="FFFFFF"/>
    </w:pPr>
  </w:style>
  <w:style w:type="paragraph" w:customStyle="1" w:styleId="cit-mail-list-ul2">
    <w:name w:val="cit-mail-list-ul2"/>
    <w:basedOn w:val="a"/>
    <w:rPr>
      <w:vanish/>
    </w:rPr>
  </w:style>
  <w:style w:type="paragraph" w:customStyle="1" w:styleId="ins-index-con-list">
    <w:name w:val="ins-index-con-list"/>
    <w:basedOn w:val="a"/>
  </w:style>
  <w:style w:type="paragraph" w:customStyle="1" w:styleId="ins-con-box">
    <w:name w:val="ins-con-box"/>
    <w:basedOn w:val="a"/>
    <w:pPr>
      <w:spacing w:after="180"/>
    </w:pPr>
  </w:style>
  <w:style w:type="paragraph" w:customStyle="1" w:styleId="imgs">
    <w:name w:val="imgs"/>
    <w:basedOn w:val="a"/>
  </w:style>
  <w:style w:type="paragraph" w:customStyle="1" w:styleId="txts">
    <w:name w:val="txts"/>
    <w:basedOn w:val="a"/>
  </w:style>
  <w:style w:type="paragraph" w:customStyle="1" w:styleId="spancss">
    <w:name w:val="spancss"/>
    <w:basedOn w:val="a"/>
  </w:style>
  <w:style w:type="paragraph" w:customStyle="1" w:styleId="search-info">
    <w:name w:val="search-info"/>
    <w:basedOn w:val="a"/>
  </w:style>
  <w:style w:type="paragraph" w:customStyle="1" w:styleId="input-text">
    <w:name w:val="input-text"/>
    <w:basedOn w:val="a"/>
  </w:style>
  <w:style w:type="paragraph" w:customStyle="1" w:styleId="submit">
    <w:name w:val="submit"/>
    <w:basedOn w:val="a"/>
  </w:style>
  <w:style w:type="paragraph" w:customStyle="1" w:styleId="ico-arrow">
    <w:name w:val="ico-arrow"/>
    <w:basedOn w:val="a"/>
  </w:style>
  <w:style w:type="paragraph" w:customStyle="1" w:styleId="ico-ads">
    <w:name w:val="ico-ads"/>
    <w:basedOn w:val="a"/>
  </w:style>
  <w:style w:type="paragraph" w:customStyle="1" w:styleId="icon">
    <w:name w:val="icon"/>
    <w:basedOn w:val="a"/>
  </w:style>
  <w:style w:type="paragraph" w:customStyle="1" w:styleId="go">
    <w:name w:val="go"/>
    <w:basedOn w:val="a"/>
  </w:style>
  <w:style w:type="paragraph" w:customStyle="1" w:styleId="current">
    <w:name w:val="current"/>
    <w:basedOn w:val="a"/>
  </w:style>
  <w:style w:type="paragraph" w:customStyle="1" w:styleId="bgs">
    <w:name w:val="bgs"/>
    <w:basedOn w:val="a"/>
  </w:style>
  <w:style w:type="paragraph" w:customStyle="1" w:styleId="p-img">
    <w:name w:val="p-img"/>
    <w:basedOn w:val="a"/>
  </w:style>
  <w:style w:type="paragraph" w:customStyle="1" w:styleId="p-txt">
    <w:name w:val="p-txt"/>
    <w:basedOn w:val="a"/>
  </w:style>
  <w:style w:type="paragraph" w:customStyle="1" w:styleId="more">
    <w:name w:val="more"/>
    <w:basedOn w:val="a"/>
  </w:style>
  <w:style w:type="paragraph" w:customStyle="1" w:styleId="box-left">
    <w:name w:val="box-left"/>
    <w:basedOn w:val="a"/>
  </w:style>
  <w:style w:type="paragraph" w:customStyle="1" w:styleId="box-right">
    <w:name w:val="box-right"/>
    <w:basedOn w:val="a"/>
  </w:style>
  <w:style w:type="paragraph" w:customStyle="1" w:styleId="name">
    <w:name w:val="name"/>
    <w:basedOn w:val="a"/>
  </w:style>
  <w:style w:type="paragraph" w:customStyle="1" w:styleId="job">
    <w:name w:val="job"/>
    <w:basedOn w:val="a"/>
  </w:style>
  <w:style w:type="paragraph" w:customStyle="1" w:styleId="work">
    <w:name w:val="work"/>
    <w:basedOn w:val="a"/>
  </w:style>
  <w:style w:type="paragraph" w:customStyle="1" w:styleId="mores">
    <w:name w:val="mores"/>
    <w:basedOn w:val="a"/>
  </w:style>
  <w:style w:type="paragraph" w:customStyle="1" w:styleId="list">
    <w:name w:val="list"/>
    <w:basedOn w:val="a"/>
  </w:style>
  <w:style w:type="paragraph" w:customStyle="1" w:styleId="r-tit">
    <w:name w:val="r-tit"/>
    <w:basedOn w:val="a"/>
  </w:style>
  <w:style w:type="paragraph" w:customStyle="1" w:styleId="pay">
    <w:name w:val="pay"/>
    <w:basedOn w:val="a"/>
  </w:style>
  <w:style w:type="paragraph" w:customStyle="1" w:styleId="photo-tab">
    <w:name w:val="photo-tab"/>
    <w:basedOn w:val="a"/>
  </w:style>
  <w:style w:type="paragraph" w:customStyle="1" w:styleId="tabs">
    <w:name w:val="tabs"/>
    <w:basedOn w:val="a"/>
  </w:style>
  <w:style w:type="paragraph" w:customStyle="1" w:styleId="jw-title">
    <w:name w:val="jw-title"/>
    <w:basedOn w:val="a"/>
  </w:style>
  <w:style w:type="paragraph" w:customStyle="1" w:styleId="min-list">
    <w:name w:val="min-list"/>
    <w:basedOn w:val="a"/>
  </w:style>
  <w:style w:type="character" w:customStyle="1" w:styleId="date">
    <w:name w:val="date"/>
    <w:basedOn w:val="a0"/>
  </w:style>
  <w:style w:type="character" w:customStyle="1" w:styleId="ico-phone">
    <w:name w:val="ico-phone"/>
    <w:basedOn w:val="a0"/>
  </w:style>
  <w:style w:type="character" w:customStyle="1" w:styleId="ico-arrows">
    <w:name w:val="ico-arrows"/>
    <w:basedOn w:val="a0"/>
  </w:style>
  <w:style w:type="character" w:customStyle="1" w:styleId="box01">
    <w:name w:val="box01"/>
    <w:basedOn w:val="a0"/>
  </w:style>
  <w:style w:type="character" w:customStyle="1" w:styleId="box02">
    <w:name w:val="box02"/>
    <w:basedOn w:val="a0"/>
  </w:style>
  <w:style w:type="character" w:customStyle="1" w:styleId="box03">
    <w:name w:val="box03"/>
    <w:basedOn w:val="a0"/>
  </w:style>
  <w:style w:type="character" w:customStyle="1" w:styleId="box04">
    <w:name w:val="box04"/>
    <w:basedOn w:val="a0"/>
  </w:style>
  <w:style w:type="character" w:customStyle="1" w:styleId="box05">
    <w:name w:val="box05"/>
    <w:basedOn w:val="a0"/>
  </w:style>
  <w:style w:type="character" w:customStyle="1" w:styleId="box06">
    <w:name w:val="box06"/>
    <w:basedOn w:val="a0"/>
  </w:style>
  <w:style w:type="character" w:customStyle="1" w:styleId="box07">
    <w:name w:val="box07"/>
    <w:basedOn w:val="a0"/>
  </w:style>
  <w:style w:type="character" w:customStyle="1" w:styleId="box08">
    <w:name w:val="box08"/>
    <w:basedOn w:val="a0"/>
  </w:style>
  <w:style w:type="paragraph" w:customStyle="1" w:styleId="main1">
    <w:name w:val="main1"/>
    <w:basedOn w:val="a"/>
  </w:style>
  <w:style w:type="paragraph" w:customStyle="1" w:styleId="imgs1">
    <w:name w:val="imgs1"/>
    <w:basedOn w:val="a"/>
  </w:style>
  <w:style w:type="paragraph" w:customStyle="1" w:styleId="txts1">
    <w:name w:val="txts1"/>
    <w:basedOn w:val="a"/>
    <w:pPr>
      <w:spacing w:line="300" w:lineRule="atLeast"/>
    </w:pPr>
  </w:style>
  <w:style w:type="paragraph" w:customStyle="1" w:styleId="spancss1">
    <w:name w:val="spancss1"/>
    <w:basedOn w:val="a"/>
  </w:style>
  <w:style w:type="paragraph" w:customStyle="1" w:styleId="search-info1">
    <w:name w:val="search-info1"/>
    <w:basedOn w:val="a"/>
    <w:pPr>
      <w:spacing w:before="60"/>
    </w:pPr>
  </w:style>
  <w:style w:type="paragraph" w:customStyle="1" w:styleId="input-text1">
    <w:name w:val="input-text1"/>
    <w:basedOn w:val="a"/>
    <w:pPr>
      <w:pBdr>
        <w:top w:val="single" w:sz="12" w:space="3" w:color="455E88"/>
        <w:left w:val="single" w:sz="12" w:space="3" w:color="455E88"/>
        <w:bottom w:val="single" w:sz="12" w:space="3" w:color="455E88"/>
      </w:pBdr>
      <w:spacing w:line="312" w:lineRule="atLeast"/>
    </w:pPr>
    <w:rPr>
      <w:color w:val="455E88"/>
    </w:rPr>
  </w:style>
  <w:style w:type="paragraph" w:customStyle="1" w:styleId="submit1">
    <w:name w:val="submit1"/>
    <w:basedOn w:val="a"/>
    <w:pPr>
      <w:shd w:val="clear" w:color="auto" w:fill="455E88"/>
      <w:spacing w:line="432" w:lineRule="atLeast"/>
      <w:jc w:val="center"/>
    </w:pPr>
    <w:rPr>
      <w:color w:val="FFFFFF"/>
    </w:rPr>
  </w:style>
  <w:style w:type="paragraph" w:customStyle="1" w:styleId="submit2">
    <w:name w:val="submit2"/>
    <w:basedOn w:val="a"/>
    <w:pPr>
      <w:shd w:val="clear" w:color="auto" w:fill="213E6E"/>
      <w:spacing w:line="432" w:lineRule="atLeast"/>
      <w:jc w:val="center"/>
    </w:pPr>
    <w:rPr>
      <w:color w:val="FFFFFF"/>
    </w:rPr>
  </w:style>
  <w:style w:type="character" w:customStyle="1" w:styleId="ico-phone1">
    <w:name w:val="ico-phone1"/>
    <w:basedOn w:val="a0"/>
    <w:rPr>
      <w:color w:val="000000"/>
    </w:rPr>
  </w:style>
  <w:style w:type="character" w:customStyle="1" w:styleId="ico-arrows1">
    <w:name w:val="ico-arrows1"/>
    <w:basedOn w:val="a0"/>
  </w:style>
  <w:style w:type="paragraph" w:customStyle="1" w:styleId="ico-arrow1">
    <w:name w:val="ico-arrow1"/>
    <w:basedOn w:val="a"/>
    <w:pPr>
      <w:ind w:left="-72"/>
    </w:pPr>
  </w:style>
  <w:style w:type="paragraph" w:customStyle="1" w:styleId="input-text2">
    <w:name w:val="input-text2"/>
    <w:basedOn w:val="a"/>
    <w:pPr>
      <w:pBdr>
        <w:top w:val="single" w:sz="4" w:space="3" w:color="DDDDDD"/>
        <w:left w:val="single" w:sz="4" w:space="3" w:color="DDDDDD"/>
        <w:bottom w:val="single" w:sz="4" w:space="3" w:color="DDDDDD"/>
      </w:pBdr>
      <w:spacing w:line="312" w:lineRule="atLeast"/>
    </w:pPr>
    <w:rPr>
      <w:color w:val="455E88"/>
    </w:rPr>
  </w:style>
  <w:style w:type="paragraph" w:customStyle="1" w:styleId="submit3">
    <w:name w:val="submit3"/>
    <w:basedOn w:val="a"/>
    <w:pPr>
      <w:shd w:val="clear" w:color="auto" w:fill="0B5B98"/>
      <w:spacing w:line="432" w:lineRule="atLeast"/>
      <w:jc w:val="center"/>
    </w:pPr>
    <w:rPr>
      <w:color w:val="FFFFFF"/>
    </w:rPr>
  </w:style>
  <w:style w:type="paragraph" w:customStyle="1" w:styleId="submit4">
    <w:name w:val="submit4"/>
    <w:basedOn w:val="a"/>
    <w:pPr>
      <w:shd w:val="clear" w:color="auto" w:fill="213E6E"/>
      <w:spacing w:line="432" w:lineRule="atLeast"/>
      <w:jc w:val="center"/>
    </w:pPr>
    <w:rPr>
      <w:color w:val="FFFFFF"/>
    </w:rPr>
  </w:style>
  <w:style w:type="paragraph" w:customStyle="1" w:styleId="index-txt1">
    <w:name w:val="index-txt1"/>
    <w:basedOn w:val="a"/>
    <w:pPr>
      <w:spacing w:before="276"/>
      <w:ind w:left="180"/>
    </w:pPr>
  </w:style>
  <w:style w:type="paragraph" w:customStyle="1" w:styleId="ico-more1">
    <w:name w:val="ico-more1"/>
    <w:basedOn w:val="a"/>
    <w:pPr>
      <w:spacing w:before="60" w:line="240" w:lineRule="atLeast"/>
    </w:pPr>
    <w:rPr>
      <w:color w:val="606264"/>
      <w:sz w:val="14"/>
      <w:szCs w:val="14"/>
    </w:rPr>
  </w:style>
  <w:style w:type="paragraph" w:customStyle="1" w:styleId="imgs2">
    <w:name w:val="imgs2"/>
    <w:basedOn w:val="a"/>
  </w:style>
  <w:style w:type="paragraph" w:customStyle="1" w:styleId="txts2">
    <w:name w:val="txts2"/>
    <w:basedOn w:val="a"/>
    <w:pPr>
      <w:spacing w:line="300" w:lineRule="atLeast"/>
    </w:pPr>
  </w:style>
  <w:style w:type="paragraph" w:customStyle="1" w:styleId="main2">
    <w:name w:val="main2"/>
    <w:basedOn w:val="a"/>
    <w:rPr>
      <w:color w:val="112E80"/>
    </w:rPr>
  </w:style>
  <w:style w:type="paragraph" w:customStyle="1" w:styleId="ico-ads1">
    <w:name w:val="ico-ads1"/>
    <w:basedOn w:val="a"/>
    <w:pPr>
      <w:spacing w:before="24"/>
      <w:ind w:right="36"/>
    </w:pPr>
  </w:style>
  <w:style w:type="paragraph" w:customStyle="1" w:styleId="main3">
    <w:name w:val="main3"/>
    <w:basedOn w:val="a"/>
    <w:rPr>
      <w:color w:val="FFFFFF"/>
    </w:rPr>
  </w:style>
  <w:style w:type="paragraph" w:customStyle="1" w:styleId="left1">
    <w:name w:val="left1"/>
    <w:basedOn w:val="a"/>
    <w:pPr>
      <w:spacing w:line="600" w:lineRule="atLeast"/>
    </w:pPr>
    <w:rPr>
      <w:sz w:val="29"/>
      <w:szCs w:val="29"/>
    </w:rPr>
  </w:style>
  <w:style w:type="paragraph" w:customStyle="1" w:styleId="right2">
    <w:name w:val="right2"/>
    <w:basedOn w:val="a"/>
    <w:pPr>
      <w:spacing w:before="420"/>
    </w:pPr>
  </w:style>
  <w:style w:type="paragraph" w:customStyle="1" w:styleId="ico-ads2">
    <w:name w:val="ico-ads2"/>
    <w:basedOn w:val="a"/>
    <w:pPr>
      <w:spacing w:before="24"/>
      <w:ind w:right="36"/>
    </w:pPr>
  </w:style>
  <w:style w:type="character" w:customStyle="1" w:styleId="box011">
    <w:name w:val="box011"/>
    <w:basedOn w:val="a0"/>
    <w:rPr>
      <w:shd w:val="clear" w:color="auto" w:fill="378AE3"/>
    </w:rPr>
  </w:style>
  <w:style w:type="character" w:customStyle="1" w:styleId="box021">
    <w:name w:val="box021"/>
    <w:basedOn w:val="a0"/>
    <w:rPr>
      <w:shd w:val="clear" w:color="auto" w:fill="21975B"/>
    </w:rPr>
  </w:style>
  <w:style w:type="character" w:customStyle="1" w:styleId="box031">
    <w:name w:val="box031"/>
    <w:basedOn w:val="a0"/>
    <w:rPr>
      <w:shd w:val="clear" w:color="auto" w:fill="A89F09"/>
    </w:rPr>
  </w:style>
  <w:style w:type="character" w:customStyle="1" w:styleId="box041">
    <w:name w:val="box041"/>
    <w:basedOn w:val="a0"/>
    <w:rPr>
      <w:shd w:val="clear" w:color="auto" w:fill="225C9A"/>
    </w:rPr>
  </w:style>
  <w:style w:type="character" w:customStyle="1" w:styleId="box051">
    <w:name w:val="box051"/>
    <w:basedOn w:val="a0"/>
    <w:rPr>
      <w:shd w:val="clear" w:color="auto" w:fill="6C46EA"/>
    </w:rPr>
  </w:style>
  <w:style w:type="character" w:customStyle="1" w:styleId="box061">
    <w:name w:val="box061"/>
    <w:basedOn w:val="a0"/>
    <w:rPr>
      <w:shd w:val="clear" w:color="auto" w:fill="0ABC4D"/>
    </w:rPr>
  </w:style>
  <w:style w:type="character" w:customStyle="1" w:styleId="box071">
    <w:name w:val="box071"/>
    <w:basedOn w:val="a0"/>
    <w:rPr>
      <w:shd w:val="clear" w:color="auto" w:fill="E6620B"/>
    </w:rPr>
  </w:style>
  <w:style w:type="character" w:customStyle="1" w:styleId="box081">
    <w:name w:val="box081"/>
    <w:basedOn w:val="a0"/>
    <w:rPr>
      <w:shd w:val="clear" w:color="auto" w:fill="745C9B"/>
    </w:rPr>
  </w:style>
  <w:style w:type="character" w:customStyle="1" w:styleId="date1">
    <w:name w:val="date1"/>
    <w:basedOn w:val="a0"/>
    <w:rPr>
      <w:color w:val="999999"/>
    </w:rPr>
  </w:style>
  <w:style w:type="paragraph" w:customStyle="1" w:styleId="icon1">
    <w:name w:val="icon1"/>
    <w:basedOn w:val="a"/>
    <w:pPr>
      <w:shd w:val="clear" w:color="auto" w:fill="FFFFFF"/>
      <w:spacing w:line="624" w:lineRule="atLeast"/>
    </w:pPr>
    <w:rPr>
      <w:color w:val="333333"/>
      <w:sz w:val="19"/>
      <w:szCs w:val="19"/>
    </w:rPr>
  </w:style>
  <w:style w:type="paragraph" w:customStyle="1" w:styleId="photo-tab1">
    <w:name w:val="photo-tab1"/>
    <w:basedOn w:val="a"/>
    <w:pPr>
      <w:ind w:left="-996"/>
    </w:pPr>
  </w:style>
  <w:style w:type="paragraph" w:customStyle="1" w:styleId="tabs1">
    <w:name w:val="tabs1"/>
    <w:basedOn w:val="a"/>
  </w:style>
  <w:style w:type="paragraph" w:customStyle="1" w:styleId="input-text3">
    <w:name w:val="input-text3"/>
    <w:basedOn w:val="a"/>
    <w:pPr>
      <w:pBdr>
        <w:top w:val="single" w:sz="4" w:space="4" w:color="CCCCCC"/>
        <w:left w:val="single" w:sz="4" w:space="4" w:color="CCCCCC"/>
        <w:bottom w:val="single" w:sz="4" w:space="4" w:color="CCCCCC"/>
        <w:right w:val="single" w:sz="4" w:space="4" w:color="CCCCCC"/>
      </w:pBdr>
      <w:jc w:val="center"/>
    </w:pPr>
  </w:style>
  <w:style w:type="paragraph" w:customStyle="1" w:styleId="go1">
    <w:name w:val="go1"/>
    <w:basedOn w:val="a"/>
    <w:pPr>
      <w:pBdr>
        <w:top w:val="single" w:sz="4" w:space="0" w:color="FFFFFF"/>
        <w:left w:val="single" w:sz="4" w:space="3" w:color="FFFFFF"/>
        <w:bottom w:val="single" w:sz="4" w:space="0" w:color="FFFFFF"/>
        <w:right w:val="single" w:sz="4" w:space="3" w:color="FFFFFF"/>
      </w:pBdr>
    </w:pPr>
  </w:style>
  <w:style w:type="paragraph" w:customStyle="1" w:styleId="current1">
    <w:name w:val="current1"/>
    <w:basedOn w:val="a"/>
    <w:pPr>
      <w:pBdr>
        <w:top w:val="single" w:sz="4" w:space="0" w:color="112E80"/>
        <w:left w:val="single" w:sz="4" w:space="0" w:color="112E80"/>
        <w:bottom w:val="single" w:sz="4" w:space="0" w:color="112E80"/>
        <w:right w:val="single" w:sz="4" w:space="0" w:color="112E80"/>
      </w:pBdr>
      <w:shd w:val="clear" w:color="auto" w:fill="112E80"/>
      <w:textAlignment w:val="top"/>
    </w:pPr>
    <w:rPr>
      <w:b/>
      <w:bCs/>
      <w:color w:val="FFFFFF"/>
    </w:rPr>
  </w:style>
  <w:style w:type="paragraph" w:customStyle="1" w:styleId="bgs1">
    <w:name w:val="bgs1"/>
    <w:basedOn w:val="a"/>
    <w:pPr>
      <w:shd w:val="clear" w:color="auto" w:fill="FFFFFF"/>
    </w:pPr>
  </w:style>
  <w:style w:type="paragraph" w:customStyle="1" w:styleId="p-img1">
    <w:name w:val="p-img1"/>
    <w:basedOn w:val="a"/>
    <w:pPr>
      <w:jc w:val="center"/>
    </w:pPr>
  </w:style>
  <w:style w:type="paragraph" w:customStyle="1" w:styleId="p-txt1">
    <w:name w:val="p-txt1"/>
    <w:basedOn w:val="a"/>
    <w:pPr>
      <w:pBdr>
        <w:top w:val="single" w:sz="4" w:space="6" w:color="DFDEDE"/>
      </w:pBdr>
    </w:pPr>
    <w:rPr>
      <w:color w:val="333333"/>
      <w:sz w:val="14"/>
      <w:szCs w:val="14"/>
    </w:rPr>
  </w:style>
  <w:style w:type="paragraph" w:customStyle="1" w:styleId="more1">
    <w:name w:val="more1"/>
    <w:basedOn w:val="a"/>
    <w:pPr>
      <w:spacing w:line="240" w:lineRule="atLeast"/>
    </w:pPr>
    <w:rPr>
      <w:sz w:val="14"/>
      <w:szCs w:val="14"/>
    </w:rPr>
  </w:style>
  <w:style w:type="paragraph" w:customStyle="1" w:styleId="more2">
    <w:name w:val="more2"/>
    <w:basedOn w:val="a"/>
    <w:pPr>
      <w:spacing w:line="240" w:lineRule="atLeast"/>
    </w:pPr>
    <w:rPr>
      <w:sz w:val="14"/>
      <w:szCs w:val="14"/>
    </w:rPr>
  </w:style>
  <w:style w:type="paragraph" w:customStyle="1" w:styleId="more3">
    <w:name w:val="more3"/>
    <w:basedOn w:val="a"/>
    <w:pPr>
      <w:spacing w:line="240" w:lineRule="atLeast"/>
    </w:pPr>
    <w:rPr>
      <w:color w:val="112E80"/>
      <w:sz w:val="14"/>
      <w:szCs w:val="14"/>
    </w:rPr>
  </w:style>
  <w:style w:type="paragraph" w:customStyle="1" w:styleId="more4">
    <w:name w:val="more4"/>
    <w:basedOn w:val="a"/>
    <w:pPr>
      <w:spacing w:line="240" w:lineRule="atLeast"/>
    </w:pPr>
    <w:rPr>
      <w:color w:val="112E80"/>
      <w:sz w:val="14"/>
      <w:szCs w:val="14"/>
    </w:rPr>
  </w:style>
  <w:style w:type="paragraph" w:customStyle="1" w:styleId="box-left1">
    <w:name w:val="box-left1"/>
    <w:basedOn w:val="a"/>
    <w:pPr>
      <w:ind w:right="240"/>
    </w:pPr>
  </w:style>
  <w:style w:type="paragraph" w:customStyle="1" w:styleId="box-right1">
    <w:name w:val="box-right1"/>
    <w:basedOn w:val="a"/>
    <w:pPr>
      <w:ind w:left="5364"/>
    </w:pPr>
  </w:style>
  <w:style w:type="paragraph" w:customStyle="1" w:styleId="jw-title1">
    <w:name w:val="jw-title1"/>
    <w:basedOn w:val="a"/>
  </w:style>
  <w:style w:type="paragraph" w:customStyle="1" w:styleId="pay1">
    <w:name w:val="pay1"/>
    <w:basedOn w:val="a"/>
    <w:pPr>
      <w:spacing w:line="360" w:lineRule="atLeast"/>
    </w:pPr>
    <w:rPr>
      <w:vanish/>
      <w:color w:val="FFFFFF"/>
      <w:sz w:val="17"/>
      <w:szCs w:val="17"/>
    </w:rPr>
  </w:style>
  <w:style w:type="paragraph" w:customStyle="1" w:styleId="name1">
    <w:name w:val="name1"/>
    <w:basedOn w:val="a"/>
    <w:rPr>
      <w:sz w:val="26"/>
      <w:szCs w:val="26"/>
    </w:rPr>
  </w:style>
  <w:style w:type="paragraph" w:customStyle="1" w:styleId="job1">
    <w:name w:val="job1"/>
    <w:basedOn w:val="a"/>
    <w:rPr>
      <w:color w:val="999999"/>
      <w:sz w:val="14"/>
      <w:szCs w:val="14"/>
    </w:rPr>
  </w:style>
  <w:style w:type="paragraph" w:customStyle="1" w:styleId="work1">
    <w:name w:val="work1"/>
    <w:basedOn w:val="a"/>
    <w:pPr>
      <w:spacing w:line="240" w:lineRule="atLeast"/>
    </w:pPr>
    <w:rPr>
      <w:color w:val="555555"/>
      <w:sz w:val="16"/>
      <w:szCs w:val="16"/>
    </w:rPr>
  </w:style>
  <w:style w:type="paragraph" w:customStyle="1" w:styleId="mores1">
    <w:name w:val="mores1"/>
    <w:basedOn w:val="a"/>
    <w:pPr>
      <w:spacing w:before="180"/>
    </w:pPr>
  </w:style>
  <w:style w:type="paragraph" w:customStyle="1" w:styleId="ico-more2">
    <w:name w:val="ico-more2"/>
    <w:basedOn w:val="a"/>
    <w:pPr>
      <w:spacing w:before="120" w:line="240" w:lineRule="atLeast"/>
    </w:pPr>
    <w:rPr>
      <w:color w:val="606264"/>
      <w:sz w:val="14"/>
      <w:szCs w:val="14"/>
    </w:rPr>
  </w:style>
  <w:style w:type="paragraph" w:customStyle="1" w:styleId="news-list1">
    <w:name w:val="news-list1"/>
    <w:basedOn w:val="a"/>
    <w:pPr>
      <w:pBdr>
        <w:top w:val="single" w:sz="4" w:space="0" w:color="DDDDDD"/>
      </w:pBdr>
    </w:pPr>
  </w:style>
  <w:style w:type="paragraph" w:customStyle="1" w:styleId="min-list1">
    <w:name w:val="min-list1"/>
    <w:basedOn w:val="a"/>
  </w:style>
  <w:style w:type="paragraph" w:customStyle="1" w:styleId="min-list2">
    <w:name w:val="min-list2"/>
    <w:basedOn w:val="a"/>
  </w:style>
  <w:style w:type="paragraph" w:customStyle="1" w:styleId="ico-more3">
    <w:name w:val="ico-more3"/>
    <w:basedOn w:val="a"/>
    <w:pPr>
      <w:spacing w:before="120" w:line="240" w:lineRule="atLeast"/>
    </w:pPr>
    <w:rPr>
      <w:color w:val="606264"/>
      <w:sz w:val="14"/>
      <w:szCs w:val="14"/>
    </w:rPr>
  </w:style>
  <w:style w:type="paragraph" w:customStyle="1" w:styleId="list1">
    <w:name w:val="list1"/>
    <w:basedOn w:val="a"/>
  </w:style>
  <w:style w:type="paragraph" w:customStyle="1" w:styleId="col-2-21">
    <w:name w:val="col-2-21"/>
    <w:basedOn w:val="a"/>
    <w:pPr>
      <w:shd w:val="clear" w:color="auto" w:fill="FFFFFF"/>
    </w:pPr>
  </w:style>
  <w:style w:type="paragraph" w:customStyle="1" w:styleId="r-tit1">
    <w:name w:val="r-tit1"/>
    <w:basedOn w:val="a"/>
    <w:pPr>
      <w:shd w:val="clear" w:color="auto" w:fill="F2F2F2"/>
    </w:pPr>
  </w:style>
  <w:style w:type="paragraph" w:customStyle="1" w:styleId="pay2">
    <w:name w:val="pay2"/>
    <w:basedOn w:val="a"/>
    <w:pPr>
      <w:spacing w:line="360" w:lineRule="atLeast"/>
    </w:pPr>
    <w:rPr>
      <w:vanish/>
      <w:color w:val="FFFFFF"/>
      <w:sz w:val="17"/>
      <w:szCs w:val="17"/>
    </w:rPr>
  </w:style>
  <w:style w:type="paragraph" w:customStyle="1" w:styleId="pay3">
    <w:name w:val="pay3"/>
    <w:basedOn w:val="a"/>
    <w:pPr>
      <w:spacing w:line="360" w:lineRule="atLeast"/>
    </w:pPr>
    <w:rPr>
      <w:vanish/>
      <w:color w:val="FFFFFF"/>
      <w:sz w:val="17"/>
      <w:szCs w:val="17"/>
    </w:r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character" w:styleId="a7">
    <w:name w:val="Emphasis"/>
    <w:basedOn w:val="a0"/>
    <w:uiPriority w:val="20"/>
    <w:qFormat/>
    <w:rPr>
      <w:i/>
      <w:iCs/>
    </w:rPr>
  </w:style>
  <w:style w:type="character" w:customStyle="1" w:styleId="spancss2">
    <w:name w:val="spancss2"/>
    <w:basedOn w:val="a0"/>
  </w:style>
  <w:style w:type="paragraph" w:styleId="a8">
    <w:name w:val="Balloon Text"/>
    <w:basedOn w:val="a"/>
    <w:link w:val="Char"/>
    <w:uiPriority w:val="99"/>
    <w:semiHidden/>
    <w:unhideWhenUsed/>
    <w:rsid w:val="005666CF"/>
    <w:rPr>
      <w:sz w:val="18"/>
      <w:szCs w:val="18"/>
    </w:rPr>
  </w:style>
  <w:style w:type="character" w:customStyle="1" w:styleId="Char">
    <w:name w:val="批注框文本 Char"/>
    <w:basedOn w:val="a0"/>
    <w:link w:val="a8"/>
    <w:uiPriority w:val="99"/>
    <w:semiHidden/>
    <w:rsid w:val="005666CF"/>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332075485">
      <w:marLeft w:val="0"/>
      <w:marRight w:val="0"/>
      <w:marTop w:val="0"/>
      <w:marBottom w:val="0"/>
      <w:divBdr>
        <w:top w:val="single" w:sz="4" w:space="3" w:color="DDDDDD"/>
        <w:left w:val="none" w:sz="0" w:space="0" w:color="auto"/>
        <w:bottom w:val="none" w:sz="0" w:space="0" w:color="auto"/>
        <w:right w:val="none" w:sz="0" w:space="0" w:color="auto"/>
      </w:divBdr>
      <w:divsChild>
        <w:div w:id="776680192">
          <w:marLeft w:val="0"/>
          <w:marRight w:val="0"/>
          <w:marTop w:val="0"/>
          <w:marBottom w:val="0"/>
          <w:divBdr>
            <w:top w:val="none" w:sz="0" w:space="0" w:color="auto"/>
            <w:left w:val="none" w:sz="0" w:space="0" w:color="auto"/>
            <w:bottom w:val="none" w:sz="0" w:space="0" w:color="auto"/>
            <w:right w:val="none" w:sz="0" w:space="0" w:color="auto"/>
          </w:divBdr>
        </w:div>
      </w:divsChild>
    </w:div>
    <w:div w:id="701054878">
      <w:marLeft w:val="0"/>
      <w:marRight w:val="0"/>
      <w:marTop w:val="0"/>
      <w:marBottom w:val="0"/>
      <w:divBdr>
        <w:top w:val="none" w:sz="0" w:space="0" w:color="auto"/>
        <w:left w:val="none" w:sz="0" w:space="0" w:color="auto"/>
        <w:bottom w:val="none" w:sz="0" w:space="0" w:color="auto"/>
        <w:right w:val="none" w:sz="0" w:space="0" w:color="auto"/>
      </w:divBdr>
      <w:divsChild>
        <w:div w:id="101190629">
          <w:marLeft w:val="0"/>
          <w:marRight w:val="0"/>
          <w:marTop w:val="120"/>
          <w:marBottom w:val="0"/>
          <w:divBdr>
            <w:top w:val="none" w:sz="0" w:space="0" w:color="auto"/>
            <w:left w:val="none" w:sz="0" w:space="0" w:color="auto"/>
            <w:bottom w:val="none" w:sz="0" w:space="0" w:color="auto"/>
            <w:right w:val="none" w:sz="0" w:space="0" w:color="auto"/>
          </w:divBdr>
        </w:div>
        <w:div w:id="83231311">
          <w:marLeft w:val="0"/>
          <w:marRight w:val="0"/>
          <w:marTop w:val="96"/>
          <w:marBottom w:val="360"/>
          <w:divBdr>
            <w:top w:val="single" w:sz="4" w:space="0" w:color="E4E4E3"/>
            <w:left w:val="single" w:sz="4" w:space="0" w:color="E4E4E3"/>
            <w:bottom w:val="single" w:sz="4" w:space="0" w:color="E4E4E3"/>
            <w:right w:val="single" w:sz="4" w:space="0" w:color="E4E4E3"/>
          </w:divBdr>
          <w:divsChild>
            <w:div w:id="474689679">
              <w:marLeft w:val="420"/>
              <w:marRight w:val="420"/>
              <w:marTop w:val="0"/>
              <w:marBottom w:val="0"/>
              <w:divBdr>
                <w:top w:val="none" w:sz="0" w:space="0" w:color="auto"/>
                <w:left w:val="none" w:sz="0" w:space="0" w:color="auto"/>
                <w:bottom w:val="dashed" w:sz="4" w:space="3" w:color="D9D9D9"/>
                <w:right w:val="none" w:sz="0" w:space="0" w:color="auto"/>
              </w:divBdr>
              <w:divsChild>
                <w:div w:id="1515145155">
                  <w:marLeft w:val="0"/>
                  <w:marRight w:val="0"/>
                  <w:marTop w:val="0"/>
                  <w:marBottom w:val="0"/>
                  <w:divBdr>
                    <w:top w:val="none" w:sz="0" w:space="0" w:color="auto"/>
                    <w:left w:val="none" w:sz="0" w:space="0" w:color="auto"/>
                    <w:bottom w:val="none" w:sz="0" w:space="0" w:color="auto"/>
                    <w:right w:val="none" w:sz="0" w:space="0" w:color="auto"/>
                  </w:divBdr>
                </w:div>
              </w:divsChild>
            </w:div>
            <w:div w:id="1971014084">
              <w:marLeft w:val="420"/>
              <w:marRight w:val="420"/>
              <w:marTop w:val="0"/>
              <w:marBottom w:val="420"/>
              <w:divBdr>
                <w:top w:val="none" w:sz="0" w:space="0" w:color="auto"/>
                <w:left w:val="none" w:sz="0" w:space="0" w:color="auto"/>
                <w:bottom w:val="none" w:sz="0" w:space="0" w:color="auto"/>
                <w:right w:val="none" w:sz="0" w:space="0" w:color="auto"/>
              </w:divBdr>
            </w:div>
          </w:divsChild>
        </w:div>
      </w:divsChild>
    </w:div>
    <w:div w:id="1004356553">
      <w:marLeft w:val="0"/>
      <w:marRight w:val="0"/>
      <w:marTop w:val="0"/>
      <w:marBottom w:val="0"/>
      <w:divBdr>
        <w:top w:val="none" w:sz="0" w:space="0" w:color="auto"/>
        <w:left w:val="none" w:sz="0" w:space="0" w:color="auto"/>
        <w:bottom w:val="single" w:sz="12" w:space="0" w:color="0B5B98"/>
        <w:right w:val="none" w:sz="0" w:space="0" w:color="auto"/>
      </w:divBdr>
      <w:divsChild>
        <w:div w:id="245000811">
          <w:marLeft w:val="0"/>
          <w:marRight w:val="0"/>
          <w:marTop w:val="0"/>
          <w:marBottom w:val="0"/>
          <w:divBdr>
            <w:top w:val="none" w:sz="0" w:space="0" w:color="auto"/>
            <w:left w:val="none" w:sz="0" w:space="0" w:color="auto"/>
            <w:bottom w:val="none" w:sz="0" w:space="0" w:color="auto"/>
            <w:right w:val="none" w:sz="0" w:space="0" w:color="auto"/>
          </w:divBdr>
          <w:divsChild>
            <w:div w:id="662202358">
              <w:marLeft w:val="0"/>
              <w:marRight w:val="0"/>
              <w:marTop w:val="0"/>
              <w:marBottom w:val="0"/>
              <w:divBdr>
                <w:top w:val="none" w:sz="0" w:space="0" w:color="auto"/>
                <w:left w:val="none" w:sz="0" w:space="0" w:color="auto"/>
                <w:bottom w:val="none" w:sz="0" w:space="0" w:color="auto"/>
                <w:right w:val="none" w:sz="0" w:space="0" w:color="auto"/>
              </w:divBdr>
            </w:div>
            <w:div w:id="9680488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2906</Words>
  <Characters>269</Characters>
  <Application>Microsoft Office Word</Application>
  <DocSecurity>4</DocSecurity>
  <Lines>2</Lines>
  <Paragraphs>6</Paragraphs>
  <ScaleCrop>false</ScaleCrop>
  <Company>CHINA</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金湾区总部企业认定管理办法</dc:title>
  <dc:subject/>
  <dc:creator>linfan</dc:creator>
  <cp:keywords/>
  <dc:description/>
  <cp:lastModifiedBy>linfan</cp:lastModifiedBy>
  <cp:revision>2</cp:revision>
  <dcterms:created xsi:type="dcterms:W3CDTF">2018-05-02T17:46:00Z</dcterms:created>
  <dcterms:modified xsi:type="dcterms:W3CDTF">2018-05-02T17:46:00Z</dcterms:modified>
</cp:coreProperties>
</file>