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89" w:rsidRDefault="00A84389" w:rsidP="00A84389">
      <w:pPr>
        <w:pStyle w:val="a3"/>
        <w:shd w:val="clear" w:color="auto" w:fill="FFFFFF"/>
        <w:spacing w:before="0" w:beforeAutospacing="0" w:after="0" w:afterAutospacing="0" w:line="480" w:lineRule="auto"/>
        <w:jc w:val="center"/>
        <w:rPr>
          <w:rFonts w:ascii="Calibri" w:hAnsi="Calibri" w:cs="Calibri"/>
          <w:color w:val="333333"/>
          <w:sz w:val="21"/>
          <w:szCs w:val="21"/>
        </w:rPr>
      </w:pPr>
      <w:r w:rsidRPr="00A84389">
        <w:rPr>
          <w:rFonts w:ascii="Calibri" w:hAnsi="Calibri" w:cs="Calibri"/>
          <w:color w:val="333333"/>
          <w:szCs w:val="21"/>
        </w:rPr>
        <w:t>    </w:t>
      </w:r>
      <w:r>
        <w:rPr>
          <w:rFonts w:ascii="黑体" w:eastAsia="黑体" w:hAnsi="黑体" w:cs="Calibri" w:hint="eastAsia"/>
          <w:color w:val="333333"/>
          <w:sz w:val="28"/>
          <w:szCs w:val="28"/>
        </w:rPr>
        <w:t>关于加快推进知识产权强市建设的若干政策措施</w:t>
      </w:r>
    </w:p>
    <w:p w:rsidR="00A84389" w:rsidRPr="00A84389" w:rsidRDefault="00A84389" w:rsidP="00A84389">
      <w:pPr>
        <w:widowControl/>
        <w:shd w:val="clear" w:color="auto" w:fill="FFFFFF"/>
        <w:spacing w:line="480" w:lineRule="auto"/>
        <w:rPr>
          <w:rFonts w:ascii="Calibri" w:eastAsia="宋体" w:hAnsi="Calibri" w:cs="Calibri"/>
          <w:color w:val="333333"/>
          <w:kern w:val="0"/>
          <w:szCs w:val="21"/>
        </w:rPr>
      </w:pPr>
      <w:bookmarkStart w:id="0" w:name="_GoBack"/>
      <w:bookmarkEnd w:id="0"/>
    </w:p>
    <w:p w:rsidR="00A84389" w:rsidRPr="00A84389" w:rsidRDefault="00A84389" w:rsidP="00A84389">
      <w:pPr>
        <w:widowControl/>
        <w:shd w:val="clear" w:color="auto" w:fill="FFFFFF"/>
        <w:spacing w:line="480" w:lineRule="auto"/>
        <w:rPr>
          <w:rFonts w:ascii="Calibri" w:eastAsia="宋体" w:hAnsi="Calibri" w:cs="Calibri"/>
          <w:color w:val="333333"/>
          <w:kern w:val="0"/>
          <w:szCs w:val="21"/>
        </w:rPr>
      </w:pPr>
      <w:r w:rsidRPr="00A84389">
        <w:rPr>
          <w:rFonts w:ascii="楷体" w:eastAsia="楷体" w:hAnsi="楷体" w:cs="Calibri" w:hint="eastAsia"/>
          <w:color w:val="333333"/>
          <w:kern w:val="0"/>
          <w:szCs w:val="21"/>
        </w:rPr>
        <w:t>（一）激发知识产权创造活力。</w:t>
      </w:r>
      <w:r w:rsidRPr="00A84389">
        <w:rPr>
          <w:rFonts w:ascii="宋体" w:eastAsia="宋体" w:hAnsi="宋体" w:cs="Calibri" w:hint="eastAsia"/>
          <w:color w:val="333333"/>
          <w:kern w:val="0"/>
          <w:szCs w:val="21"/>
        </w:rPr>
        <w:t>将企业实际发生的知识产权申请、代理、授权、权利维持以及文献检索、评议等与研发活动直接相关的费用，列入研发费用加计扣除范围。鼓励全社会重视专利的申请与授权，对获得授权的发明专利、实用新型专利，每件分别给予</w:t>
      </w:r>
      <w:r w:rsidRPr="00A84389">
        <w:rPr>
          <w:rFonts w:ascii="Calibri" w:eastAsia="宋体" w:hAnsi="Calibri" w:cs="Calibri"/>
          <w:color w:val="333333"/>
          <w:kern w:val="0"/>
          <w:szCs w:val="21"/>
        </w:rPr>
        <w:t>4000</w:t>
      </w:r>
      <w:r w:rsidRPr="00A84389">
        <w:rPr>
          <w:rFonts w:ascii="宋体" w:eastAsia="宋体" w:hAnsi="宋体" w:cs="Calibri" w:hint="eastAsia"/>
          <w:color w:val="333333"/>
          <w:kern w:val="0"/>
          <w:szCs w:val="21"/>
        </w:rPr>
        <w:t>元、</w:t>
      </w:r>
      <w:r w:rsidRPr="00A84389">
        <w:rPr>
          <w:rFonts w:ascii="Calibri" w:eastAsia="宋体" w:hAnsi="Calibri" w:cs="Calibri"/>
          <w:color w:val="333333"/>
          <w:kern w:val="0"/>
          <w:szCs w:val="21"/>
        </w:rPr>
        <w:t>1000</w:t>
      </w:r>
      <w:r w:rsidRPr="00A84389">
        <w:rPr>
          <w:rFonts w:ascii="宋体" w:eastAsia="宋体" w:hAnsi="宋体" w:cs="Calibri" w:hint="eastAsia"/>
          <w:color w:val="333333"/>
          <w:kern w:val="0"/>
          <w:szCs w:val="21"/>
        </w:rPr>
        <w:t>元奖励。对企业首件授权发明专利的国家规费及代理费给予</w:t>
      </w:r>
      <w:r w:rsidRPr="00A84389">
        <w:rPr>
          <w:rFonts w:ascii="Calibri" w:eastAsia="宋体" w:hAnsi="Calibri" w:cs="Calibri"/>
          <w:color w:val="333333"/>
          <w:kern w:val="0"/>
          <w:szCs w:val="21"/>
        </w:rPr>
        <w:t>2000</w:t>
      </w:r>
      <w:r w:rsidRPr="00A84389">
        <w:rPr>
          <w:rFonts w:ascii="宋体" w:eastAsia="宋体" w:hAnsi="宋体" w:cs="Calibri" w:hint="eastAsia"/>
          <w:color w:val="333333"/>
          <w:kern w:val="0"/>
          <w:szCs w:val="21"/>
        </w:rPr>
        <w:t>元补贴。对科技计划项目开展知识产权评议，将拥有或取得发明专利作为市科技计划项目立项或验收的重要依据。</w:t>
      </w:r>
      <w:r w:rsidRPr="00A84389">
        <w:rPr>
          <w:rFonts w:ascii="楷体" w:eastAsia="楷体" w:hAnsi="楷体" w:cs="Calibri" w:hint="eastAsia"/>
          <w:color w:val="333333"/>
          <w:kern w:val="0"/>
          <w:szCs w:val="21"/>
        </w:rPr>
        <w:t>（责任部门：市知识产权局、科技局、财政局、国税局、地税局、教育局）</w:t>
      </w:r>
    </w:p>
    <w:p w:rsidR="00A84389" w:rsidRPr="00A84389" w:rsidRDefault="00A84389" w:rsidP="00A84389">
      <w:pPr>
        <w:widowControl/>
        <w:shd w:val="clear" w:color="auto" w:fill="FFFFFF"/>
        <w:spacing w:line="480" w:lineRule="auto"/>
        <w:rPr>
          <w:rFonts w:ascii="Calibri" w:eastAsia="宋体" w:hAnsi="Calibri" w:cs="Calibri"/>
          <w:color w:val="333333"/>
          <w:kern w:val="0"/>
          <w:szCs w:val="21"/>
        </w:rPr>
      </w:pPr>
      <w:r w:rsidRPr="00A84389">
        <w:rPr>
          <w:rFonts w:ascii="Calibri" w:eastAsia="宋体" w:hAnsi="Calibri" w:cs="Calibri"/>
          <w:color w:val="333333"/>
          <w:kern w:val="0"/>
          <w:szCs w:val="21"/>
        </w:rPr>
        <w:t xml:space="preserve">         </w:t>
      </w:r>
      <w:r w:rsidRPr="00A84389">
        <w:rPr>
          <w:rFonts w:ascii="楷体" w:eastAsia="楷体" w:hAnsi="楷体" w:cs="Calibri" w:hint="eastAsia"/>
          <w:color w:val="333333"/>
          <w:kern w:val="0"/>
          <w:szCs w:val="21"/>
        </w:rPr>
        <w:t>（二）提高知识产权产出质量。</w:t>
      </w:r>
      <w:r w:rsidRPr="00A84389">
        <w:rPr>
          <w:rFonts w:ascii="宋体" w:eastAsia="宋体" w:hAnsi="宋体" w:cs="Calibri" w:hint="eastAsia"/>
          <w:color w:val="333333"/>
          <w:kern w:val="0"/>
          <w:szCs w:val="21"/>
        </w:rPr>
        <w:t>支持企业与高校、科研院所、知识产权服务机构建立专利战略合作关系，实现产业链、创新链、信息链有机融合，组建高价值专利培育示范中心，对符合省高价值专利培育示范中心申报条件并积极申报的企业最高给予</w:t>
      </w:r>
      <w:r w:rsidRPr="00A84389">
        <w:rPr>
          <w:rFonts w:ascii="Calibri" w:eastAsia="宋体" w:hAnsi="Calibri" w:cs="Calibri"/>
          <w:color w:val="333333"/>
          <w:kern w:val="0"/>
          <w:szCs w:val="21"/>
        </w:rPr>
        <w:t>50</w:t>
      </w:r>
      <w:r w:rsidRPr="00A84389">
        <w:rPr>
          <w:rFonts w:ascii="宋体" w:eastAsia="宋体" w:hAnsi="宋体" w:cs="Calibri" w:hint="eastAsia"/>
          <w:color w:val="333333"/>
          <w:kern w:val="0"/>
          <w:szCs w:val="21"/>
        </w:rPr>
        <w:t>万元支持。鼓励企业开展海外知识产权布局，对企业申请国（境）外专利的申请费、代理费及其他规费，每进入一个国家或地区，每件专利最高资助</w:t>
      </w:r>
      <w:r w:rsidRPr="00A84389">
        <w:rPr>
          <w:rFonts w:ascii="Calibri" w:eastAsia="宋体" w:hAnsi="Calibri" w:cs="Calibri"/>
          <w:color w:val="333333"/>
          <w:kern w:val="0"/>
          <w:szCs w:val="21"/>
        </w:rPr>
        <w:t>2</w:t>
      </w:r>
      <w:r w:rsidRPr="00A84389">
        <w:rPr>
          <w:rFonts w:ascii="宋体" w:eastAsia="宋体" w:hAnsi="宋体" w:cs="Calibri" w:hint="eastAsia"/>
          <w:color w:val="333333"/>
          <w:kern w:val="0"/>
          <w:szCs w:val="21"/>
        </w:rPr>
        <w:t>万元；对当年新申请马德里商标国际注册的企业，奖励</w:t>
      </w:r>
      <w:r w:rsidRPr="00A84389">
        <w:rPr>
          <w:rFonts w:ascii="Calibri" w:eastAsia="宋体" w:hAnsi="Calibri" w:cs="Calibri"/>
          <w:color w:val="333333"/>
          <w:kern w:val="0"/>
          <w:szCs w:val="21"/>
        </w:rPr>
        <w:t>2</w:t>
      </w:r>
      <w:r w:rsidRPr="00A84389">
        <w:rPr>
          <w:rFonts w:ascii="宋体" w:eastAsia="宋体" w:hAnsi="宋体" w:cs="Calibri" w:hint="eastAsia"/>
          <w:color w:val="333333"/>
          <w:kern w:val="0"/>
          <w:szCs w:val="21"/>
        </w:rPr>
        <w:t>万元。对维持</w:t>
      </w:r>
      <w:r w:rsidRPr="00A84389">
        <w:rPr>
          <w:rFonts w:ascii="Calibri" w:eastAsia="宋体" w:hAnsi="Calibri" w:cs="Calibri"/>
          <w:color w:val="333333"/>
          <w:kern w:val="0"/>
          <w:szCs w:val="21"/>
        </w:rPr>
        <w:t>10</w:t>
      </w:r>
      <w:r w:rsidRPr="00A84389">
        <w:rPr>
          <w:rFonts w:ascii="宋体" w:eastAsia="宋体" w:hAnsi="宋体" w:cs="Calibri" w:hint="eastAsia"/>
          <w:color w:val="333333"/>
          <w:kern w:val="0"/>
          <w:szCs w:val="21"/>
        </w:rPr>
        <w:t>年（含）以上的发明专利权的维持费，给予不超过</w:t>
      </w:r>
      <w:r w:rsidRPr="00A84389">
        <w:rPr>
          <w:rFonts w:ascii="Calibri" w:eastAsia="宋体" w:hAnsi="Calibri" w:cs="Calibri"/>
          <w:color w:val="333333"/>
          <w:kern w:val="0"/>
          <w:szCs w:val="21"/>
        </w:rPr>
        <w:t>30%</w:t>
      </w:r>
      <w:r w:rsidRPr="00A84389">
        <w:rPr>
          <w:rFonts w:ascii="宋体" w:eastAsia="宋体" w:hAnsi="宋体" w:cs="Calibri" w:hint="eastAsia"/>
          <w:color w:val="333333"/>
          <w:kern w:val="0"/>
          <w:szCs w:val="21"/>
        </w:rPr>
        <w:t>的补助；对国家工商总局新认定的中国驰名商标按相关规定给予奖励；对获省发明人奖、专利金奖和优秀奖的分别给予</w:t>
      </w:r>
      <w:r w:rsidRPr="00A84389">
        <w:rPr>
          <w:rFonts w:ascii="Calibri" w:eastAsia="宋体" w:hAnsi="Calibri" w:cs="Calibri"/>
          <w:color w:val="333333"/>
          <w:kern w:val="0"/>
          <w:szCs w:val="21"/>
        </w:rPr>
        <w:t>2</w:t>
      </w:r>
      <w:r w:rsidRPr="00A84389">
        <w:rPr>
          <w:rFonts w:ascii="宋体" w:eastAsia="宋体" w:hAnsi="宋体" w:cs="Calibri" w:hint="eastAsia"/>
          <w:color w:val="333333"/>
          <w:kern w:val="0"/>
          <w:szCs w:val="21"/>
        </w:rPr>
        <w:t>万元、</w:t>
      </w:r>
      <w:r w:rsidRPr="00A84389">
        <w:rPr>
          <w:rFonts w:ascii="Calibri" w:eastAsia="宋体" w:hAnsi="Calibri" w:cs="Calibri"/>
          <w:color w:val="333333"/>
          <w:kern w:val="0"/>
          <w:szCs w:val="21"/>
        </w:rPr>
        <w:t>2</w:t>
      </w:r>
      <w:r w:rsidRPr="00A84389">
        <w:rPr>
          <w:rFonts w:ascii="宋体" w:eastAsia="宋体" w:hAnsi="宋体" w:cs="Calibri" w:hint="eastAsia"/>
          <w:color w:val="333333"/>
          <w:kern w:val="0"/>
          <w:szCs w:val="21"/>
        </w:rPr>
        <w:t>万元和</w:t>
      </w:r>
      <w:r w:rsidRPr="00A84389">
        <w:rPr>
          <w:rFonts w:ascii="Calibri" w:eastAsia="宋体" w:hAnsi="Calibri" w:cs="Calibri"/>
          <w:color w:val="333333"/>
          <w:kern w:val="0"/>
          <w:szCs w:val="21"/>
        </w:rPr>
        <w:t>1</w:t>
      </w:r>
      <w:r w:rsidRPr="00A84389">
        <w:rPr>
          <w:rFonts w:ascii="宋体" w:eastAsia="宋体" w:hAnsi="宋体" w:cs="Calibri" w:hint="eastAsia"/>
          <w:color w:val="333333"/>
          <w:kern w:val="0"/>
          <w:szCs w:val="21"/>
        </w:rPr>
        <w:t>万元配套奖励。</w:t>
      </w:r>
      <w:r w:rsidRPr="00A84389">
        <w:rPr>
          <w:rFonts w:ascii="楷体" w:eastAsia="楷体" w:hAnsi="楷体" w:cs="Calibri" w:hint="eastAsia"/>
          <w:color w:val="333333"/>
          <w:kern w:val="0"/>
          <w:szCs w:val="21"/>
        </w:rPr>
        <w:t>（责任部门：市知识产权局、工商局、财政局）</w:t>
      </w:r>
    </w:p>
    <w:p w:rsidR="00A84389" w:rsidRPr="00A84389" w:rsidRDefault="00A84389" w:rsidP="00A84389">
      <w:pPr>
        <w:widowControl/>
        <w:shd w:val="clear" w:color="auto" w:fill="FFFFFF"/>
        <w:spacing w:line="480" w:lineRule="auto"/>
        <w:rPr>
          <w:rFonts w:ascii="Calibri" w:eastAsia="宋体" w:hAnsi="Calibri" w:cs="Calibri"/>
          <w:color w:val="333333"/>
          <w:kern w:val="0"/>
          <w:szCs w:val="21"/>
        </w:rPr>
      </w:pPr>
      <w:r w:rsidRPr="00A84389">
        <w:rPr>
          <w:rFonts w:ascii="Calibri" w:eastAsia="宋体" w:hAnsi="Calibri" w:cs="Calibri"/>
          <w:color w:val="333333"/>
          <w:kern w:val="0"/>
          <w:szCs w:val="21"/>
        </w:rPr>
        <w:t xml:space="preserve">         </w:t>
      </w:r>
      <w:r w:rsidRPr="00A84389">
        <w:rPr>
          <w:rFonts w:ascii="黑体" w:eastAsia="黑体" w:hAnsi="黑体" w:cs="Calibri" w:hint="eastAsia"/>
          <w:color w:val="333333"/>
          <w:kern w:val="0"/>
          <w:szCs w:val="21"/>
        </w:rPr>
        <w:t>二、促进知识产权运用</w:t>
      </w:r>
    </w:p>
    <w:p w:rsidR="00A84389" w:rsidRPr="00A84389" w:rsidRDefault="00A84389" w:rsidP="00A84389">
      <w:pPr>
        <w:widowControl/>
        <w:shd w:val="clear" w:color="auto" w:fill="FFFFFF"/>
        <w:spacing w:line="480" w:lineRule="auto"/>
        <w:rPr>
          <w:rFonts w:ascii="Calibri" w:eastAsia="宋体" w:hAnsi="Calibri" w:cs="Calibri"/>
          <w:color w:val="333333"/>
          <w:kern w:val="0"/>
          <w:szCs w:val="21"/>
        </w:rPr>
      </w:pPr>
      <w:r w:rsidRPr="00A84389">
        <w:rPr>
          <w:rFonts w:ascii="Calibri" w:eastAsia="宋体" w:hAnsi="Calibri" w:cs="Calibri"/>
          <w:color w:val="333333"/>
          <w:kern w:val="0"/>
          <w:szCs w:val="21"/>
        </w:rPr>
        <w:t xml:space="preserve">         </w:t>
      </w:r>
      <w:r w:rsidRPr="00A84389">
        <w:rPr>
          <w:rFonts w:ascii="楷体" w:eastAsia="楷体" w:hAnsi="楷体" w:cs="Calibri" w:hint="eastAsia"/>
          <w:color w:val="333333"/>
          <w:kern w:val="0"/>
          <w:szCs w:val="21"/>
        </w:rPr>
        <w:t>（三）培育知识产权优势企业。</w:t>
      </w:r>
      <w:r w:rsidRPr="00A84389">
        <w:rPr>
          <w:rFonts w:ascii="宋体" w:eastAsia="宋体" w:hAnsi="宋体" w:cs="Calibri" w:hint="eastAsia"/>
          <w:color w:val="333333"/>
          <w:kern w:val="0"/>
          <w:szCs w:val="21"/>
        </w:rPr>
        <w:t>从高新技术企业、科技型中小企业中，遴选</w:t>
      </w:r>
      <w:r w:rsidRPr="00A84389">
        <w:rPr>
          <w:rFonts w:ascii="Calibri" w:eastAsia="宋体" w:hAnsi="Calibri" w:cs="Calibri"/>
          <w:color w:val="333333"/>
          <w:kern w:val="0"/>
          <w:szCs w:val="21"/>
        </w:rPr>
        <w:t>200</w:t>
      </w:r>
      <w:r w:rsidRPr="00A84389">
        <w:rPr>
          <w:rFonts w:ascii="宋体" w:eastAsia="宋体" w:hAnsi="宋体" w:cs="Calibri" w:hint="eastAsia"/>
          <w:color w:val="333333"/>
          <w:kern w:val="0"/>
          <w:szCs w:val="21"/>
        </w:rPr>
        <w:t>家拥有有效发明专利</w:t>
      </w:r>
      <w:r w:rsidRPr="00A84389">
        <w:rPr>
          <w:rFonts w:ascii="Calibri" w:eastAsia="宋体" w:hAnsi="Calibri" w:cs="Calibri"/>
          <w:color w:val="333333"/>
          <w:kern w:val="0"/>
          <w:szCs w:val="21"/>
        </w:rPr>
        <w:t>2</w:t>
      </w:r>
      <w:r w:rsidRPr="00A84389">
        <w:rPr>
          <w:rFonts w:ascii="宋体" w:eastAsia="宋体" w:hAnsi="宋体" w:cs="Calibri" w:hint="eastAsia"/>
          <w:color w:val="333333"/>
          <w:kern w:val="0"/>
          <w:szCs w:val="21"/>
        </w:rPr>
        <w:t>件以上的企业，分类指导、重点服务，实施知识产权优势企业培育计划。集成各类科技创新资源，支持企业提升创新能力，增加专利产出，促进专利运用。对年度申请发明专利</w:t>
      </w:r>
      <w:r w:rsidRPr="00A84389">
        <w:rPr>
          <w:rFonts w:ascii="Calibri" w:eastAsia="宋体" w:hAnsi="Calibri" w:cs="Calibri"/>
          <w:color w:val="333333"/>
          <w:kern w:val="0"/>
          <w:szCs w:val="21"/>
        </w:rPr>
        <w:t>10</w:t>
      </w:r>
      <w:r w:rsidRPr="00A84389">
        <w:rPr>
          <w:rFonts w:ascii="宋体" w:eastAsia="宋体" w:hAnsi="宋体" w:cs="Calibri" w:hint="eastAsia"/>
          <w:color w:val="333333"/>
          <w:kern w:val="0"/>
          <w:szCs w:val="21"/>
        </w:rPr>
        <w:t>件以上的企业，其发明专利申请费、代理费按实际发生额给予</w:t>
      </w:r>
      <w:r w:rsidRPr="00A84389">
        <w:rPr>
          <w:rFonts w:ascii="Calibri" w:eastAsia="宋体" w:hAnsi="Calibri" w:cs="Calibri"/>
          <w:color w:val="333333"/>
          <w:kern w:val="0"/>
          <w:szCs w:val="21"/>
        </w:rPr>
        <w:t>50%</w:t>
      </w:r>
      <w:r w:rsidRPr="00A84389">
        <w:rPr>
          <w:rFonts w:ascii="宋体" w:eastAsia="宋体" w:hAnsi="宋体" w:cs="Calibri" w:hint="eastAsia"/>
          <w:color w:val="333333"/>
          <w:kern w:val="0"/>
          <w:szCs w:val="21"/>
        </w:rPr>
        <w:t>补贴，单</w:t>
      </w:r>
      <w:r w:rsidRPr="00A84389">
        <w:rPr>
          <w:rFonts w:ascii="宋体" w:eastAsia="宋体" w:hAnsi="宋体" w:cs="Calibri" w:hint="eastAsia"/>
          <w:color w:val="333333"/>
          <w:kern w:val="0"/>
          <w:szCs w:val="21"/>
        </w:rPr>
        <w:lastRenderedPageBreak/>
        <w:t>个企业年度最高补助</w:t>
      </w:r>
      <w:r w:rsidRPr="00A84389">
        <w:rPr>
          <w:rFonts w:ascii="Calibri" w:eastAsia="宋体" w:hAnsi="Calibri" w:cs="Calibri"/>
          <w:color w:val="333333"/>
          <w:kern w:val="0"/>
          <w:szCs w:val="21"/>
        </w:rPr>
        <w:t>10</w:t>
      </w:r>
      <w:r w:rsidRPr="00A84389">
        <w:rPr>
          <w:rFonts w:ascii="宋体" w:eastAsia="宋体" w:hAnsi="宋体" w:cs="Calibri" w:hint="eastAsia"/>
          <w:color w:val="333333"/>
          <w:kern w:val="0"/>
          <w:szCs w:val="21"/>
        </w:rPr>
        <w:t>万元；引导企业贯彻知识产权管理规范国家标准（以下简称“贯标”），对通过“贯标”绩效评价或论证的企业择优给予</w:t>
      </w:r>
      <w:r w:rsidRPr="00A84389">
        <w:rPr>
          <w:rFonts w:ascii="Calibri" w:eastAsia="宋体" w:hAnsi="Calibri" w:cs="Calibri"/>
          <w:color w:val="333333"/>
          <w:kern w:val="0"/>
          <w:szCs w:val="21"/>
        </w:rPr>
        <w:t>10</w:t>
      </w:r>
      <w:r w:rsidRPr="00A84389">
        <w:rPr>
          <w:rFonts w:ascii="宋体" w:eastAsia="宋体" w:hAnsi="宋体" w:cs="Calibri" w:hint="eastAsia"/>
          <w:color w:val="333333"/>
          <w:kern w:val="0"/>
          <w:szCs w:val="21"/>
        </w:rPr>
        <w:t>万元奖励；鼓励企业实施知识产权战略，对承担市企业知识产权战略推进计划的企业给予资助。到</w:t>
      </w:r>
      <w:r w:rsidRPr="00A84389">
        <w:rPr>
          <w:rFonts w:ascii="Calibri" w:eastAsia="宋体" w:hAnsi="Calibri" w:cs="Calibri"/>
          <w:color w:val="333333"/>
          <w:kern w:val="0"/>
          <w:szCs w:val="21"/>
        </w:rPr>
        <w:t>2020</w:t>
      </w:r>
      <w:r w:rsidRPr="00A84389">
        <w:rPr>
          <w:rFonts w:ascii="宋体" w:eastAsia="宋体" w:hAnsi="宋体" w:cs="Calibri" w:hint="eastAsia"/>
          <w:color w:val="333333"/>
          <w:kern w:val="0"/>
          <w:szCs w:val="21"/>
        </w:rPr>
        <w:t>年，培育知识产权优势企业</w:t>
      </w:r>
      <w:r w:rsidRPr="00A84389">
        <w:rPr>
          <w:rFonts w:ascii="Calibri" w:eastAsia="宋体" w:hAnsi="Calibri" w:cs="Calibri"/>
          <w:color w:val="333333"/>
          <w:kern w:val="0"/>
          <w:szCs w:val="21"/>
        </w:rPr>
        <w:t>100</w:t>
      </w:r>
      <w:r w:rsidRPr="00A84389">
        <w:rPr>
          <w:rFonts w:ascii="宋体" w:eastAsia="宋体" w:hAnsi="宋体" w:cs="Calibri" w:hint="eastAsia"/>
          <w:color w:val="333333"/>
          <w:kern w:val="0"/>
          <w:szCs w:val="21"/>
        </w:rPr>
        <w:t>家，每家新增授权发明专利</w:t>
      </w:r>
      <w:r w:rsidRPr="00A84389">
        <w:rPr>
          <w:rFonts w:ascii="Calibri" w:eastAsia="宋体" w:hAnsi="Calibri" w:cs="Calibri"/>
          <w:color w:val="333333"/>
          <w:kern w:val="0"/>
          <w:szCs w:val="21"/>
        </w:rPr>
        <w:t>10</w:t>
      </w:r>
      <w:r w:rsidRPr="00A84389">
        <w:rPr>
          <w:rFonts w:ascii="宋体" w:eastAsia="宋体" w:hAnsi="宋体" w:cs="Calibri" w:hint="eastAsia"/>
          <w:color w:val="333333"/>
          <w:kern w:val="0"/>
          <w:szCs w:val="21"/>
        </w:rPr>
        <w:t>件以上。</w:t>
      </w:r>
      <w:r w:rsidRPr="00A84389">
        <w:rPr>
          <w:rFonts w:ascii="楷体" w:eastAsia="楷体" w:hAnsi="楷体" w:cs="Calibri" w:hint="eastAsia"/>
          <w:color w:val="333333"/>
          <w:kern w:val="0"/>
          <w:szCs w:val="21"/>
        </w:rPr>
        <w:t>（责任部门：市知识产权局、科技局、财政局）</w:t>
      </w:r>
    </w:p>
    <w:p w:rsidR="00A84389" w:rsidRPr="00A84389" w:rsidRDefault="00A84389" w:rsidP="00A84389">
      <w:pPr>
        <w:widowControl/>
        <w:shd w:val="clear" w:color="auto" w:fill="FFFFFF"/>
        <w:spacing w:line="480" w:lineRule="auto"/>
        <w:rPr>
          <w:rFonts w:ascii="Calibri" w:eastAsia="宋体" w:hAnsi="Calibri" w:cs="Calibri"/>
          <w:color w:val="333333"/>
          <w:kern w:val="0"/>
          <w:szCs w:val="21"/>
        </w:rPr>
      </w:pPr>
      <w:r w:rsidRPr="00A84389">
        <w:rPr>
          <w:rFonts w:ascii="Calibri" w:eastAsia="宋体" w:hAnsi="Calibri" w:cs="Calibri"/>
          <w:color w:val="333333"/>
          <w:kern w:val="0"/>
          <w:szCs w:val="21"/>
        </w:rPr>
        <w:t xml:space="preserve">         </w:t>
      </w:r>
      <w:r w:rsidRPr="00A84389">
        <w:rPr>
          <w:rFonts w:ascii="楷体" w:eastAsia="楷体" w:hAnsi="楷体" w:cs="Calibri" w:hint="eastAsia"/>
          <w:color w:val="333333"/>
          <w:kern w:val="0"/>
          <w:szCs w:val="21"/>
        </w:rPr>
        <w:t>（四）发展知识产权密集型产业。</w:t>
      </w:r>
      <w:r w:rsidRPr="00A84389">
        <w:rPr>
          <w:rFonts w:ascii="宋体" w:eastAsia="宋体" w:hAnsi="宋体" w:cs="Calibri" w:hint="eastAsia"/>
          <w:color w:val="333333"/>
          <w:kern w:val="0"/>
          <w:szCs w:val="21"/>
        </w:rPr>
        <w:t>支持基本产业和战略性新兴产业发展成为知识产权密集型产业。发布知识产权密集型产业发展报告、专利预警分析报告，引导项目、资金、人才等科技创新资源，向知识产权密集型产业集聚。鼓励知识产权优势企业牵头组建知识产权联盟，搭建知识产权协同运用平台，提升防御和应对知识产权风险的能力。加快建设市级产业集群品牌培育示范基地，鼓励各县（市、区）及高新技术产业开发区、经济技术开发区建设专利导航发展实验区、专利集群管理示范区或专利审查员实践基地，积极申报国家、省各类知识产权试点示范区，对获批的国家级、省级各类知识产权试点示范区，分别给予</w:t>
      </w:r>
      <w:r w:rsidRPr="00A84389">
        <w:rPr>
          <w:rFonts w:ascii="Calibri" w:eastAsia="宋体" w:hAnsi="Calibri" w:cs="Calibri"/>
          <w:color w:val="333333"/>
          <w:kern w:val="0"/>
          <w:szCs w:val="21"/>
        </w:rPr>
        <w:t>20</w:t>
      </w:r>
      <w:r w:rsidRPr="00A84389">
        <w:rPr>
          <w:rFonts w:ascii="宋体" w:eastAsia="宋体" w:hAnsi="宋体" w:cs="Calibri" w:hint="eastAsia"/>
          <w:color w:val="333333"/>
          <w:kern w:val="0"/>
          <w:szCs w:val="21"/>
        </w:rPr>
        <w:t>万元、</w:t>
      </w:r>
      <w:r w:rsidRPr="00A84389">
        <w:rPr>
          <w:rFonts w:ascii="Calibri" w:eastAsia="宋体" w:hAnsi="Calibri" w:cs="Calibri"/>
          <w:color w:val="333333"/>
          <w:kern w:val="0"/>
          <w:szCs w:val="21"/>
        </w:rPr>
        <w:t>10</w:t>
      </w:r>
      <w:r w:rsidRPr="00A84389">
        <w:rPr>
          <w:rFonts w:ascii="宋体" w:eastAsia="宋体" w:hAnsi="宋体" w:cs="Calibri" w:hint="eastAsia"/>
          <w:color w:val="333333"/>
          <w:kern w:val="0"/>
          <w:szCs w:val="21"/>
        </w:rPr>
        <w:t>万元奖励。</w:t>
      </w:r>
    </w:p>
    <w:p w:rsidR="00AA24DC" w:rsidRPr="00A84389" w:rsidRDefault="00AA24DC" w:rsidP="00A84389">
      <w:pPr>
        <w:spacing w:line="360" w:lineRule="auto"/>
        <w:ind w:right="1720"/>
        <w:rPr>
          <w:rFonts w:ascii="宋体" w:eastAsia="宋体" w:hAnsi="宋体" w:hint="eastAsia"/>
          <w:sz w:val="24"/>
          <w:szCs w:val="24"/>
        </w:rPr>
      </w:pPr>
    </w:p>
    <w:sectPr w:rsidR="00AA24DC" w:rsidRPr="00A843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A30" w:rsidRDefault="00AC6A30" w:rsidP="00A84389">
      <w:r>
        <w:separator/>
      </w:r>
    </w:p>
  </w:endnote>
  <w:endnote w:type="continuationSeparator" w:id="0">
    <w:p w:rsidR="00AC6A30" w:rsidRDefault="00AC6A30" w:rsidP="00A8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A30" w:rsidRDefault="00AC6A30" w:rsidP="00A84389">
      <w:r>
        <w:separator/>
      </w:r>
    </w:p>
  </w:footnote>
  <w:footnote w:type="continuationSeparator" w:id="0">
    <w:p w:rsidR="00AC6A30" w:rsidRDefault="00AC6A30" w:rsidP="00A84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43"/>
    <w:rsid w:val="00400543"/>
    <w:rsid w:val="004D238D"/>
    <w:rsid w:val="00714A81"/>
    <w:rsid w:val="00A84389"/>
    <w:rsid w:val="00AA24DC"/>
    <w:rsid w:val="00AC6A30"/>
    <w:rsid w:val="00DD1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1339C0-8A02-4234-A426-AD9D7E9A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D23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17B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17B0"/>
    <w:rPr>
      <w:b/>
      <w:bCs/>
    </w:rPr>
  </w:style>
  <w:style w:type="character" w:customStyle="1" w:styleId="1Char">
    <w:name w:val="标题 1 Char"/>
    <w:basedOn w:val="a0"/>
    <w:link w:val="1"/>
    <w:uiPriority w:val="9"/>
    <w:rsid w:val="004D238D"/>
    <w:rPr>
      <w:rFonts w:ascii="宋体" w:eastAsia="宋体" w:hAnsi="宋体" w:cs="宋体"/>
      <w:b/>
      <w:bCs/>
      <w:kern w:val="36"/>
      <w:sz w:val="48"/>
      <w:szCs w:val="48"/>
    </w:rPr>
  </w:style>
  <w:style w:type="paragraph" w:styleId="a5">
    <w:name w:val="header"/>
    <w:basedOn w:val="a"/>
    <w:link w:val="Char"/>
    <w:uiPriority w:val="99"/>
    <w:unhideWhenUsed/>
    <w:rsid w:val="00A84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84389"/>
    <w:rPr>
      <w:sz w:val="18"/>
      <w:szCs w:val="18"/>
    </w:rPr>
  </w:style>
  <w:style w:type="paragraph" w:styleId="a6">
    <w:name w:val="footer"/>
    <w:basedOn w:val="a"/>
    <w:link w:val="Char0"/>
    <w:uiPriority w:val="99"/>
    <w:unhideWhenUsed/>
    <w:rsid w:val="00A84389"/>
    <w:pPr>
      <w:tabs>
        <w:tab w:val="center" w:pos="4153"/>
        <w:tab w:val="right" w:pos="8306"/>
      </w:tabs>
      <w:snapToGrid w:val="0"/>
      <w:jc w:val="left"/>
    </w:pPr>
    <w:rPr>
      <w:sz w:val="18"/>
      <w:szCs w:val="18"/>
    </w:rPr>
  </w:style>
  <w:style w:type="character" w:customStyle="1" w:styleId="Char0">
    <w:name w:val="页脚 Char"/>
    <w:basedOn w:val="a0"/>
    <w:link w:val="a6"/>
    <w:uiPriority w:val="99"/>
    <w:rsid w:val="00A843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6063">
      <w:bodyDiv w:val="1"/>
      <w:marLeft w:val="0"/>
      <w:marRight w:val="0"/>
      <w:marTop w:val="0"/>
      <w:marBottom w:val="0"/>
      <w:divBdr>
        <w:top w:val="none" w:sz="0" w:space="0" w:color="auto"/>
        <w:left w:val="none" w:sz="0" w:space="0" w:color="auto"/>
        <w:bottom w:val="none" w:sz="0" w:space="0" w:color="auto"/>
        <w:right w:val="none" w:sz="0" w:space="0" w:color="auto"/>
      </w:divBdr>
    </w:div>
    <w:div w:id="958339922">
      <w:bodyDiv w:val="1"/>
      <w:marLeft w:val="0"/>
      <w:marRight w:val="0"/>
      <w:marTop w:val="0"/>
      <w:marBottom w:val="0"/>
      <w:divBdr>
        <w:top w:val="none" w:sz="0" w:space="0" w:color="auto"/>
        <w:left w:val="none" w:sz="0" w:space="0" w:color="auto"/>
        <w:bottom w:val="none" w:sz="0" w:space="0" w:color="auto"/>
        <w:right w:val="none" w:sz="0" w:space="0" w:color="auto"/>
      </w:divBdr>
      <w:divsChild>
        <w:div w:id="1946840610">
          <w:marLeft w:val="0"/>
          <w:marRight w:val="0"/>
          <w:marTop w:val="100"/>
          <w:marBottom w:val="100"/>
          <w:divBdr>
            <w:top w:val="none" w:sz="0" w:space="0" w:color="auto"/>
            <w:left w:val="none" w:sz="0" w:space="0" w:color="auto"/>
            <w:bottom w:val="none" w:sz="0" w:space="0" w:color="auto"/>
            <w:right w:val="none" w:sz="0" w:space="0" w:color="auto"/>
          </w:divBdr>
          <w:divsChild>
            <w:div w:id="312222375">
              <w:marLeft w:val="0"/>
              <w:marRight w:val="0"/>
              <w:marTop w:val="0"/>
              <w:marBottom w:val="0"/>
              <w:divBdr>
                <w:top w:val="none" w:sz="0" w:space="0" w:color="auto"/>
                <w:left w:val="none" w:sz="0" w:space="0" w:color="auto"/>
                <w:bottom w:val="none" w:sz="0" w:space="0" w:color="auto"/>
                <w:right w:val="none" w:sz="0" w:space="0" w:color="auto"/>
              </w:divBdr>
              <w:divsChild>
                <w:div w:id="6854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0705">
      <w:bodyDiv w:val="1"/>
      <w:marLeft w:val="0"/>
      <w:marRight w:val="0"/>
      <w:marTop w:val="0"/>
      <w:marBottom w:val="0"/>
      <w:divBdr>
        <w:top w:val="none" w:sz="0" w:space="0" w:color="auto"/>
        <w:left w:val="none" w:sz="0" w:space="0" w:color="auto"/>
        <w:bottom w:val="none" w:sz="0" w:space="0" w:color="auto"/>
        <w:right w:val="none" w:sz="0" w:space="0" w:color="auto"/>
      </w:divBdr>
      <w:divsChild>
        <w:div w:id="1176847957">
          <w:marLeft w:val="0"/>
          <w:marRight w:val="0"/>
          <w:marTop w:val="100"/>
          <w:marBottom w:val="100"/>
          <w:divBdr>
            <w:top w:val="none" w:sz="0" w:space="0" w:color="auto"/>
            <w:left w:val="none" w:sz="0" w:space="0" w:color="auto"/>
            <w:bottom w:val="none" w:sz="0" w:space="0" w:color="auto"/>
            <w:right w:val="none" w:sz="0" w:space="0" w:color="auto"/>
          </w:divBdr>
          <w:divsChild>
            <w:div w:id="295987676">
              <w:marLeft w:val="0"/>
              <w:marRight w:val="0"/>
              <w:marTop w:val="0"/>
              <w:marBottom w:val="0"/>
              <w:divBdr>
                <w:top w:val="none" w:sz="0" w:space="0" w:color="auto"/>
                <w:left w:val="none" w:sz="0" w:space="0" w:color="auto"/>
                <w:bottom w:val="none" w:sz="0" w:space="0" w:color="auto"/>
                <w:right w:val="none" w:sz="0" w:space="0" w:color="auto"/>
              </w:divBdr>
              <w:divsChild>
                <w:div w:id="3858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2910">
      <w:bodyDiv w:val="1"/>
      <w:marLeft w:val="0"/>
      <w:marRight w:val="0"/>
      <w:marTop w:val="0"/>
      <w:marBottom w:val="0"/>
      <w:divBdr>
        <w:top w:val="none" w:sz="0" w:space="0" w:color="auto"/>
        <w:left w:val="none" w:sz="0" w:space="0" w:color="auto"/>
        <w:bottom w:val="none" w:sz="0" w:space="0" w:color="auto"/>
        <w:right w:val="none" w:sz="0" w:space="0" w:color="auto"/>
      </w:divBdr>
    </w:div>
    <w:div w:id="2127580484">
      <w:bodyDiv w:val="1"/>
      <w:marLeft w:val="0"/>
      <w:marRight w:val="0"/>
      <w:marTop w:val="0"/>
      <w:marBottom w:val="0"/>
      <w:divBdr>
        <w:top w:val="none" w:sz="0" w:space="0" w:color="auto"/>
        <w:left w:val="none" w:sz="0" w:space="0" w:color="auto"/>
        <w:bottom w:val="none" w:sz="0" w:space="0" w:color="auto"/>
        <w:right w:val="none" w:sz="0" w:space="0" w:color="auto"/>
      </w:divBdr>
      <w:divsChild>
        <w:div w:id="1160120974">
          <w:marLeft w:val="0"/>
          <w:marRight w:val="0"/>
          <w:marTop w:val="100"/>
          <w:marBottom w:val="100"/>
          <w:divBdr>
            <w:top w:val="none" w:sz="0" w:space="0" w:color="auto"/>
            <w:left w:val="none" w:sz="0" w:space="0" w:color="auto"/>
            <w:bottom w:val="none" w:sz="0" w:space="0" w:color="auto"/>
            <w:right w:val="none" w:sz="0" w:space="0" w:color="auto"/>
          </w:divBdr>
          <w:divsChild>
            <w:div w:id="1918129353">
              <w:marLeft w:val="0"/>
              <w:marRight w:val="0"/>
              <w:marTop w:val="0"/>
              <w:marBottom w:val="0"/>
              <w:divBdr>
                <w:top w:val="none" w:sz="0" w:space="0" w:color="auto"/>
                <w:left w:val="none" w:sz="0" w:space="0" w:color="auto"/>
                <w:bottom w:val="none" w:sz="0" w:space="0" w:color="auto"/>
                <w:right w:val="none" w:sz="0" w:space="0" w:color="auto"/>
              </w:divBdr>
              <w:divsChild>
                <w:div w:id="15548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2021-06-09T10:29:00Z</dcterms:created>
  <dcterms:modified xsi:type="dcterms:W3CDTF">2021-06-10T06:51:00Z</dcterms:modified>
</cp:coreProperties>
</file>