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EB" w:rsidRPr="00E20EEB" w:rsidRDefault="00E20EEB" w:rsidP="00E20EEB">
      <w:pPr>
        <w:widowControl/>
        <w:shd w:val="clear" w:color="auto" w:fill="FFFFFF"/>
        <w:spacing w:line="600" w:lineRule="atLeast"/>
        <w:jc w:val="left"/>
        <w:outlineLvl w:val="0"/>
        <w:rPr>
          <w:rFonts w:ascii="Arial" w:eastAsia="宋体" w:hAnsi="Arial" w:cs="Arial"/>
          <w:color w:val="033266"/>
          <w:kern w:val="36"/>
          <w:sz w:val="36"/>
          <w:szCs w:val="36"/>
        </w:rPr>
      </w:pPr>
      <w:r w:rsidRPr="00E20EEB">
        <w:rPr>
          <w:rFonts w:ascii="Arial" w:eastAsia="宋体" w:hAnsi="Arial" w:cs="Arial"/>
          <w:color w:val="033266"/>
          <w:kern w:val="36"/>
          <w:sz w:val="36"/>
          <w:szCs w:val="36"/>
        </w:rPr>
        <w:t>临邑县招商引资优惠政策</w:t>
      </w:r>
    </w:p>
    <w:p w:rsidR="00E20EEB" w:rsidRPr="00E20EEB" w:rsidRDefault="00E20EEB" w:rsidP="00E20EEB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BBBBBB"/>
          <w:kern w:val="0"/>
          <w:sz w:val="18"/>
          <w:szCs w:val="18"/>
        </w:rPr>
      </w:pPr>
      <w:r w:rsidRPr="00E20EEB">
        <w:rPr>
          <w:rFonts w:ascii="Arial" w:eastAsia="宋体" w:hAnsi="Arial" w:cs="Arial"/>
          <w:color w:val="BBBBBB"/>
          <w:kern w:val="0"/>
          <w:sz w:val="18"/>
          <w:szCs w:val="18"/>
        </w:rPr>
        <w:t>作者：张玉祥</w:t>
      </w:r>
    </w:p>
    <w:p w:rsidR="00E20EEB" w:rsidRPr="00E20EEB" w:rsidRDefault="00E20EEB" w:rsidP="00E20EEB">
      <w:pPr>
        <w:widowControl/>
        <w:shd w:val="clear" w:color="auto" w:fill="FFFFFF"/>
        <w:jc w:val="left"/>
        <w:rPr>
          <w:rFonts w:ascii="Arial" w:eastAsia="宋体" w:hAnsi="Arial" w:cs="Arial"/>
          <w:color w:val="033266"/>
          <w:kern w:val="0"/>
          <w:szCs w:val="21"/>
        </w:rPr>
      </w:pPr>
      <w:r w:rsidRPr="00E20EEB">
        <w:rPr>
          <w:rFonts w:ascii="Arial" w:eastAsia="宋体" w:hAnsi="Arial" w:cs="Arial"/>
          <w:noProof/>
          <w:color w:val="033266"/>
          <w:kern w:val="0"/>
          <w:szCs w:val="21"/>
        </w:rPr>
        <w:drawing>
          <wp:inline distT="0" distB="0" distL="0" distR="0">
            <wp:extent cx="158750" cy="158750"/>
            <wp:effectExtent l="0" t="0" r="0" b="0"/>
            <wp:docPr id="3" name="图片 3" descr="发布时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发布时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EB" w:rsidRPr="00E20EEB" w:rsidRDefault="00E20EEB" w:rsidP="00E20EEB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BBBBBB"/>
          <w:kern w:val="0"/>
          <w:sz w:val="18"/>
          <w:szCs w:val="18"/>
        </w:rPr>
      </w:pPr>
      <w:r w:rsidRPr="00E20EEB">
        <w:rPr>
          <w:rFonts w:ascii="Arial" w:eastAsia="宋体" w:hAnsi="Arial" w:cs="Arial"/>
          <w:color w:val="BBBBBB"/>
          <w:kern w:val="0"/>
          <w:sz w:val="18"/>
          <w:szCs w:val="18"/>
        </w:rPr>
        <w:t>2011/09/15/ 14:59</w:t>
      </w:r>
    </w:p>
    <w:p w:rsidR="00E20EEB" w:rsidRPr="00E20EEB" w:rsidRDefault="00E20EEB" w:rsidP="00E20EEB">
      <w:pPr>
        <w:widowControl/>
        <w:shd w:val="clear" w:color="auto" w:fill="FFFFFF"/>
        <w:jc w:val="left"/>
        <w:rPr>
          <w:rFonts w:ascii="Arial" w:eastAsia="宋体" w:hAnsi="Arial" w:cs="Arial"/>
          <w:color w:val="033266"/>
          <w:kern w:val="0"/>
          <w:szCs w:val="21"/>
        </w:rPr>
      </w:pPr>
      <w:r w:rsidRPr="00E20EEB">
        <w:rPr>
          <w:rFonts w:ascii="Arial" w:eastAsia="宋体" w:hAnsi="Arial" w:cs="Arial"/>
          <w:noProof/>
          <w:color w:val="033266"/>
          <w:kern w:val="0"/>
          <w:szCs w:val="21"/>
        </w:rPr>
        <w:drawing>
          <wp:inline distT="0" distB="0" distL="0" distR="0">
            <wp:extent cx="209550" cy="158750"/>
            <wp:effectExtent l="0" t="0" r="0" b="0"/>
            <wp:docPr id="2" name="图片 2" descr="来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来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EB" w:rsidRPr="00E20EEB" w:rsidRDefault="00E20EEB" w:rsidP="00E20EEB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BBBBBB"/>
          <w:kern w:val="0"/>
          <w:sz w:val="18"/>
          <w:szCs w:val="18"/>
        </w:rPr>
      </w:pPr>
      <w:r w:rsidRPr="00E20EEB">
        <w:rPr>
          <w:rFonts w:ascii="Arial" w:eastAsia="宋体" w:hAnsi="Arial" w:cs="Arial"/>
          <w:color w:val="BBBBBB"/>
          <w:kern w:val="0"/>
          <w:sz w:val="18"/>
          <w:szCs w:val="18"/>
        </w:rPr>
        <w:t>山东临邑政府网</w:t>
      </w:r>
    </w:p>
    <w:p w:rsidR="00E20EEB" w:rsidRPr="00E20EEB" w:rsidRDefault="00AD6788" w:rsidP="00E20EEB">
      <w:pPr>
        <w:widowControl/>
        <w:shd w:val="clear" w:color="auto" w:fill="FFFFFF"/>
        <w:jc w:val="left"/>
        <w:rPr>
          <w:rFonts w:ascii="Arial" w:eastAsia="宋体" w:hAnsi="Arial" w:cs="Arial"/>
          <w:color w:val="033266"/>
          <w:kern w:val="0"/>
          <w:sz w:val="20"/>
          <w:szCs w:val="20"/>
        </w:rPr>
      </w:pPr>
      <w:hyperlink r:id="rId6" w:tooltip="分享到" w:history="1">
        <w:r w:rsidR="00E20EEB" w:rsidRPr="00E20EEB">
          <w:rPr>
            <w:rFonts w:ascii="微软雅黑" w:eastAsia="微软雅黑" w:hAnsi="微软雅黑" w:cs="Arial" w:hint="eastAsia"/>
            <w:b/>
            <w:bCs/>
            <w:color w:val="333333"/>
            <w:kern w:val="0"/>
            <w:sz w:val="20"/>
            <w:szCs w:val="20"/>
            <w:u w:val="single"/>
            <w:bdr w:val="none" w:sz="0" w:space="0" w:color="auto" w:frame="1"/>
          </w:rPr>
          <w:t>分享到：</w:t>
        </w:r>
      </w:hyperlink>
      <w:r w:rsidR="00E20EEB" w:rsidRPr="00E20EEB">
        <w:rPr>
          <w:rFonts w:ascii="Arial" w:eastAsia="宋体" w:hAnsi="Arial" w:cs="Arial"/>
          <w:b/>
          <w:bCs/>
          <w:color w:val="333333"/>
          <w:kern w:val="0"/>
          <w:sz w:val="17"/>
          <w:szCs w:val="17"/>
          <w:bdr w:val="none" w:sz="0" w:space="0" w:color="auto" w:frame="1"/>
        </w:rPr>
        <w:t>0</w:t>
      </w:r>
    </w:p>
    <w:p w:rsidR="00E20EEB" w:rsidRPr="00E20EEB" w:rsidRDefault="00E20EEB" w:rsidP="00E20EEB">
      <w:pPr>
        <w:widowControl/>
        <w:shd w:val="clear" w:color="auto" w:fill="F7F7FF"/>
        <w:spacing w:line="405" w:lineRule="atLeast"/>
        <w:jc w:val="left"/>
        <w:outlineLvl w:val="1"/>
        <w:rPr>
          <w:rFonts w:ascii="Arial" w:eastAsia="宋体" w:hAnsi="Arial" w:cs="Arial"/>
          <w:color w:val="212E64"/>
          <w:kern w:val="0"/>
          <w:sz w:val="18"/>
          <w:szCs w:val="18"/>
        </w:rPr>
      </w:pPr>
      <w:r w:rsidRPr="00E20EEB">
        <w:rPr>
          <w:rFonts w:ascii="Arial" w:eastAsia="宋体" w:hAnsi="Arial" w:cs="Arial"/>
          <w:color w:val="FFFFFF"/>
          <w:kern w:val="0"/>
          <w:sz w:val="18"/>
          <w:szCs w:val="18"/>
          <w:bdr w:val="none" w:sz="0" w:space="0" w:color="auto" w:frame="1"/>
          <w:shd w:val="clear" w:color="auto" w:fill="608FAF"/>
        </w:rPr>
        <w:t>摘要</w:t>
      </w:r>
      <w:r w:rsidRPr="00E20EEB">
        <w:rPr>
          <w:rFonts w:ascii="宋体" w:eastAsia="宋体" w:hAnsi="宋体" w:cs="宋体" w:hint="eastAsia"/>
          <w:color w:val="608FAF"/>
          <w:kern w:val="0"/>
          <w:sz w:val="18"/>
          <w:szCs w:val="18"/>
          <w:bdr w:val="none" w:sz="0" w:space="0" w:color="auto" w:frame="1"/>
        </w:rPr>
        <w:t>◆</w:t>
      </w:r>
      <w:r w:rsidRPr="00E20EEB">
        <w:rPr>
          <w:rFonts w:ascii="Arial" w:eastAsia="宋体" w:hAnsi="Arial" w:cs="Arial"/>
          <w:color w:val="212E64"/>
          <w:kern w:val="0"/>
          <w:sz w:val="18"/>
          <w:szCs w:val="18"/>
        </w:rPr>
        <w:t>第一章</w:t>
      </w:r>
      <w:r w:rsidRPr="00E20EEB">
        <w:rPr>
          <w:rFonts w:ascii="Arial" w:eastAsia="宋体" w:hAnsi="Arial" w:cs="Arial"/>
          <w:color w:val="212E64"/>
          <w:kern w:val="0"/>
          <w:sz w:val="18"/>
          <w:szCs w:val="18"/>
        </w:rPr>
        <w:t xml:space="preserve"> </w:t>
      </w:r>
      <w:r w:rsidRPr="00E20EEB">
        <w:rPr>
          <w:rFonts w:ascii="Arial" w:eastAsia="宋体" w:hAnsi="Arial" w:cs="Arial"/>
          <w:color w:val="212E64"/>
          <w:kern w:val="0"/>
          <w:sz w:val="18"/>
          <w:szCs w:val="18"/>
        </w:rPr>
        <w:t>总</w:t>
      </w:r>
      <w:r w:rsidRPr="00E20EEB">
        <w:rPr>
          <w:rFonts w:ascii="Arial" w:eastAsia="宋体" w:hAnsi="Arial" w:cs="Arial"/>
          <w:color w:val="212E64"/>
          <w:kern w:val="0"/>
          <w:sz w:val="18"/>
          <w:szCs w:val="18"/>
        </w:rPr>
        <w:t xml:space="preserve"> </w:t>
      </w:r>
      <w:r w:rsidRPr="00E20EEB">
        <w:rPr>
          <w:rFonts w:ascii="Arial" w:eastAsia="宋体" w:hAnsi="Arial" w:cs="Arial"/>
          <w:color w:val="212E64"/>
          <w:kern w:val="0"/>
          <w:sz w:val="18"/>
          <w:szCs w:val="18"/>
        </w:rPr>
        <w:t>则</w:t>
      </w:r>
      <w:r w:rsidRPr="00E20EEB">
        <w:rPr>
          <w:rFonts w:ascii="Arial" w:eastAsia="宋体" w:hAnsi="Arial" w:cs="Arial"/>
          <w:color w:val="212E64"/>
          <w:kern w:val="0"/>
          <w:sz w:val="18"/>
          <w:szCs w:val="18"/>
        </w:rPr>
        <w:t xml:space="preserve"> </w:t>
      </w:r>
      <w:r w:rsidRPr="00E20EEB">
        <w:rPr>
          <w:rFonts w:ascii="Arial" w:eastAsia="宋体" w:hAnsi="Arial" w:cs="Arial"/>
          <w:color w:val="212E64"/>
          <w:kern w:val="0"/>
          <w:sz w:val="18"/>
          <w:szCs w:val="18"/>
        </w:rPr>
        <w:t>第一条</w:t>
      </w:r>
      <w:r w:rsidRPr="00E20EEB">
        <w:rPr>
          <w:rFonts w:ascii="Arial" w:eastAsia="宋体" w:hAnsi="Arial" w:cs="Arial"/>
          <w:color w:val="212E64"/>
          <w:kern w:val="0"/>
          <w:sz w:val="18"/>
          <w:szCs w:val="18"/>
        </w:rPr>
        <w:t xml:space="preserve"> </w:t>
      </w:r>
      <w:r w:rsidRPr="00E20EEB">
        <w:rPr>
          <w:rFonts w:ascii="Arial" w:eastAsia="宋体" w:hAnsi="Arial" w:cs="Arial"/>
          <w:color w:val="212E64"/>
          <w:kern w:val="0"/>
          <w:sz w:val="18"/>
          <w:szCs w:val="18"/>
        </w:rPr>
        <w:t>为强化和规范招商引资工作，鼓励和吸引更多的外来投资者来我县投资兴业，促进我县经济社会更快更好发展，根据国家和省有关政策规定，结合我县实际，制定本</w:t>
      </w:r>
    </w:p>
    <w:p w:rsidR="00E20EEB" w:rsidRPr="00E20EEB" w:rsidRDefault="00E20EEB" w:rsidP="00E20EEB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E20EEB">
        <w:rPr>
          <w:rFonts w:ascii="Arial" w:eastAsia="宋体" w:hAnsi="Arial" w:cs="Arial"/>
          <w:b/>
          <w:bCs/>
          <w:color w:val="444444"/>
          <w:kern w:val="0"/>
          <w:sz w:val="24"/>
          <w:szCs w:val="24"/>
          <w:bdr w:val="none" w:sz="0" w:space="0" w:color="auto" w:frame="1"/>
        </w:rPr>
        <w:t>第一章　总　则</w:t>
      </w:r>
    </w:p>
    <w:p w:rsidR="00E20EEB" w:rsidRPr="00E20EEB" w:rsidRDefault="00E20EEB" w:rsidP="00E20EEB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第一条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 xml:space="preserve">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为强化和规范</w:t>
      </w:r>
      <w:hyperlink r:id="rId7" w:tgtFrame="_blank" w:history="1">
        <w:r w:rsidRPr="00E20EEB">
          <w:rPr>
            <w:rFonts w:ascii="微软雅黑" w:eastAsia="微软雅黑" w:hAnsi="微软雅黑" w:cs="Arial" w:hint="eastAsia"/>
            <w:color w:val="CC0000"/>
            <w:kern w:val="0"/>
            <w:sz w:val="24"/>
            <w:szCs w:val="24"/>
            <w:u w:val="single"/>
            <w:bdr w:val="none" w:sz="0" w:space="0" w:color="auto" w:frame="1"/>
          </w:rPr>
          <w:t>招商引资</w:t>
        </w:r>
      </w:hyperlink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工作，鼓励和吸引更多的外来</w:t>
      </w:r>
      <w:hyperlink r:id="rId8" w:tgtFrame="_blank" w:history="1">
        <w:r w:rsidRPr="00E20EEB">
          <w:rPr>
            <w:rFonts w:ascii="微软雅黑" w:eastAsia="微软雅黑" w:hAnsi="微软雅黑" w:cs="Arial" w:hint="eastAsia"/>
            <w:color w:val="CC0000"/>
            <w:kern w:val="0"/>
            <w:sz w:val="24"/>
            <w:szCs w:val="24"/>
            <w:u w:val="single"/>
            <w:bdr w:val="none" w:sz="0" w:space="0" w:color="auto" w:frame="1"/>
          </w:rPr>
          <w:t>投资</w:t>
        </w:r>
      </w:hyperlink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者来我县</w:t>
      </w:r>
      <w:hyperlink r:id="rId9" w:tgtFrame="_blank" w:history="1">
        <w:r w:rsidRPr="00E20EEB">
          <w:rPr>
            <w:rFonts w:ascii="微软雅黑" w:eastAsia="微软雅黑" w:hAnsi="微软雅黑" w:cs="Arial" w:hint="eastAsia"/>
            <w:color w:val="CC0000"/>
            <w:kern w:val="0"/>
            <w:sz w:val="24"/>
            <w:szCs w:val="24"/>
            <w:u w:val="single"/>
            <w:bdr w:val="none" w:sz="0" w:space="0" w:color="auto" w:frame="1"/>
          </w:rPr>
          <w:t>投资</w:t>
        </w:r>
      </w:hyperlink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兴业，促进我县经济社会更快更好发展，根据国家和省有关政策规定，结合我县实际，制定本政策。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第二条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 xml:space="preserve">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本政策适用于外来投资者在我县建设固定资产投资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1000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万元以上、投资强度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150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万元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/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亩以上、</w:t>
      </w:r>
      <w:hyperlink r:id="rId10" w:tgtFrame="_blank" w:history="1">
        <w:r w:rsidRPr="00E20EEB">
          <w:rPr>
            <w:rFonts w:ascii="微软雅黑" w:eastAsia="微软雅黑" w:hAnsi="微软雅黑" w:cs="Arial" w:hint="eastAsia"/>
            <w:color w:val="CC0000"/>
            <w:kern w:val="0"/>
            <w:sz w:val="24"/>
            <w:szCs w:val="24"/>
            <w:u w:val="single"/>
            <w:bdr w:val="none" w:sz="0" w:space="0" w:color="auto" w:frame="1"/>
          </w:rPr>
          <w:t>建筑</w:t>
        </w:r>
      </w:hyperlink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密度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60%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以上，且符合国家产业政策和环保、安全生产要求的工业项目，以及</w:t>
      </w:r>
      <w:hyperlink r:id="rId11" w:tgtFrame="_blank" w:history="1">
        <w:r w:rsidRPr="00E20EEB">
          <w:rPr>
            <w:rFonts w:ascii="微软雅黑" w:eastAsia="微软雅黑" w:hAnsi="微软雅黑" w:cs="Arial" w:hint="eastAsia"/>
            <w:color w:val="CC0000"/>
            <w:kern w:val="0"/>
            <w:sz w:val="24"/>
            <w:szCs w:val="24"/>
            <w:u w:val="single"/>
            <w:bdr w:val="none" w:sz="0" w:space="0" w:color="auto" w:frame="1"/>
          </w:rPr>
          <w:t>建筑</w:t>
        </w:r>
      </w:hyperlink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面积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5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万平方米以上的大型商场类及综合性批发市场、四星级以上</w:t>
      </w:r>
      <w:hyperlink r:id="rId12" w:tgtFrame="_blank" w:history="1">
        <w:r w:rsidRPr="00E20EEB">
          <w:rPr>
            <w:rFonts w:ascii="微软雅黑" w:eastAsia="微软雅黑" w:hAnsi="微软雅黑" w:cs="Arial" w:hint="eastAsia"/>
            <w:color w:val="CC0000"/>
            <w:kern w:val="0"/>
            <w:sz w:val="24"/>
            <w:szCs w:val="24"/>
            <w:u w:val="single"/>
            <w:bdr w:val="none" w:sz="0" w:space="0" w:color="auto" w:frame="1"/>
          </w:rPr>
          <w:t>酒店</w:t>
        </w:r>
      </w:hyperlink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、建筑面积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10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万平方米以上的物流仓储等服务业项目。</w:t>
      </w:r>
    </w:p>
    <w:p w:rsidR="00E20EEB" w:rsidRPr="00E20EEB" w:rsidRDefault="00E20EEB" w:rsidP="00E20EEB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E20EEB">
        <w:rPr>
          <w:rFonts w:ascii="Arial" w:eastAsia="宋体" w:hAnsi="Arial" w:cs="Arial"/>
          <w:b/>
          <w:bCs/>
          <w:color w:val="444444"/>
          <w:kern w:val="0"/>
          <w:sz w:val="24"/>
          <w:szCs w:val="24"/>
          <w:bdr w:val="none" w:sz="0" w:space="0" w:color="auto" w:frame="1"/>
        </w:rPr>
        <w:t>第二章　土地优惠政策</w:t>
      </w:r>
    </w:p>
    <w:p w:rsidR="00E20EEB" w:rsidRPr="00E20EEB" w:rsidRDefault="00E20EEB" w:rsidP="00E20EEB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第三条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 xml:space="preserve">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对固定资产投资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1000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万元以上的工业项目，按照</w:t>
      </w:r>
      <w:hyperlink r:id="rId13" w:tgtFrame="_blank" w:history="1">
        <w:r w:rsidRPr="00E20EEB">
          <w:rPr>
            <w:rFonts w:ascii="微软雅黑" w:eastAsia="微软雅黑" w:hAnsi="微软雅黑" w:cs="Arial" w:hint="eastAsia"/>
            <w:color w:val="CC0000"/>
            <w:kern w:val="0"/>
            <w:sz w:val="24"/>
            <w:szCs w:val="24"/>
            <w:u w:val="single"/>
            <w:bdr w:val="none" w:sz="0" w:space="0" w:color="auto" w:frame="1"/>
          </w:rPr>
          <w:t>山东</w:t>
        </w:r>
      </w:hyperlink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省国土资源厅公布的临邑县当期工业用地出让最低价格执行，提供与投资额相适应的基础设施配套；对固定资产投资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5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亿元（含）以上的工业项目，根据投资额度、税收贡献和拉动地方经济发展等情况，采取一事一议的方式，提供更完善的基础设施配套。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第四条　对大型商场、酒店、物流仓储等服务业项目，且地产不对外销售的，其土地出让价格参照工业项目用地最低价格执行，给予相应基础设施配套。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lastRenderedPageBreak/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第五条　对出售产权的</w:t>
      </w:r>
      <w:hyperlink r:id="rId14" w:tgtFrame="_blank" w:history="1">
        <w:r w:rsidRPr="00E20EEB">
          <w:rPr>
            <w:rFonts w:ascii="微软雅黑" w:eastAsia="微软雅黑" w:hAnsi="微软雅黑" w:cs="Arial" w:hint="eastAsia"/>
            <w:color w:val="CC0000"/>
            <w:kern w:val="0"/>
            <w:sz w:val="24"/>
            <w:szCs w:val="24"/>
            <w:u w:val="single"/>
            <w:bdr w:val="none" w:sz="0" w:space="0" w:color="auto" w:frame="1"/>
          </w:rPr>
          <w:t>商业</w:t>
        </w:r>
      </w:hyperlink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开发性服务业项目，按当期</w:t>
      </w:r>
      <w:hyperlink r:id="rId15" w:tgtFrame="_blank" w:history="1">
        <w:r w:rsidRPr="00E20EEB">
          <w:rPr>
            <w:rFonts w:ascii="微软雅黑" w:eastAsia="微软雅黑" w:hAnsi="微软雅黑" w:cs="Arial" w:hint="eastAsia"/>
            <w:color w:val="CC0000"/>
            <w:kern w:val="0"/>
            <w:sz w:val="24"/>
            <w:szCs w:val="24"/>
            <w:u w:val="single"/>
            <w:bdr w:val="none" w:sz="0" w:space="0" w:color="auto" w:frame="1"/>
          </w:rPr>
          <w:t>商业</w:t>
        </w:r>
      </w:hyperlink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用地市场价格执行。</w:t>
      </w:r>
    </w:p>
    <w:p w:rsidR="00E20EEB" w:rsidRPr="00E20EEB" w:rsidRDefault="00E20EEB" w:rsidP="00E20EEB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E20EEB">
        <w:rPr>
          <w:rFonts w:ascii="Arial" w:eastAsia="宋体" w:hAnsi="Arial" w:cs="Arial"/>
          <w:b/>
          <w:bCs/>
          <w:color w:val="444444"/>
          <w:kern w:val="0"/>
          <w:sz w:val="24"/>
          <w:szCs w:val="24"/>
          <w:bdr w:val="none" w:sz="0" w:space="0" w:color="auto" w:frame="1"/>
        </w:rPr>
        <w:t>第三章　税收奖励政策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  <w:t>  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第六条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 xml:space="preserve">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引进项目根据投资规模，分别给予不同年限的税收奖励。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  <w:t>    1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、对固定资产投资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3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亿元（含）以上的工业项目，自投产之日起，增值税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5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年内、企业所得税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10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年内县级财政地方留成部分全部奖励给企业；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  <w:t>    2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、对固定资产投资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1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亿元（含）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—3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亿元的工业项目，自投产之日起，增值税和企业所得税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5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年内县级财政地方留成部分全部奖励给企业；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  <w:t>    3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、对固定资产投资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5000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万元（含）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—1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亿元的工业项目，自投产之日起，增值税和企业所得税前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3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年内县级财政地方留成部分全部奖励给企业，后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2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年县级财政地方留成部分的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50%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奖励给企业。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  <w:t>    4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、对固定资产投资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1000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万元（含）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—5000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万元的工业项目，自投产之日起，增值税和企业所得税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3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年内县级财政地方留成部分全部奖励给企业。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  <w:t>    5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、投资特别大的项目、国家重点扶持的</w:t>
      </w:r>
      <w:hyperlink r:id="rId16" w:tgtFrame="_blank" w:history="1">
        <w:r w:rsidRPr="00E20EEB">
          <w:rPr>
            <w:rFonts w:ascii="微软雅黑" w:eastAsia="微软雅黑" w:hAnsi="微软雅黑" w:cs="Arial" w:hint="eastAsia"/>
            <w:color w:val="CC0000"/>
            <w:kern w:val="0"/>
            <w:sz w:val="24"/>
            <w:szCs w:val="24"/>
            <w:u w:val="single"/>
            <w:bdr w:val="none" w:sz="0" w:space="0" w:color="auto" w:frame="1"/>
          </w:rPr>
          <w:t>高新技术</w:t>
        </w:r>
      </w:hyperlink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项目和外资项目，采取一事一议的办法确定奖励政策。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增值税、企业所得税在征缴的下一月份返还奖励给企业。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第七条　对建筑面积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5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万平方米以上的大型商场类及综合性批发市场、四星级以上酒店、建筑面积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10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万平方米以上的物流仓储等服务业项目，按照合同约定的建设周期完成固定资产投资，</w:t>
      </w:r>
      <w:proofErr w:type="gramStart"/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自项目</w:t>
      </w:r>
      <w:proofErr w:type="gramEnd"/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经营之日起，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5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年内增值税、营业税、企业所得税县级财政地方留成部分的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50%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奖励给企业；对</w:t>
      </w:r>
      <w:hyperlink r:id="rId17" w:tgtFrame="_blank" w:history="1">
        <w:r w:rsidRPr="00E20EEB">
          <w:rPr>
            <w:rFonts w:ascii="微软雅黑" w:eastAsia="微软雅黑" w:hAnsi="微软雅黑" w:cs="Arial" w:hint="eastAsia"/>
            <w:color w:val="CC0000"/>
            <w:kern w:val="0"/>
            <w:sz w:val="24"/>
            <w:szCs w:val="24"/>
            <w:u w:val="single"/>
            <w:bdr w:val="none" w:sz="0" w:space="0" w:color="auto" w:frame="1"/>
          </w:rPr>
          <w:t>运输</w:t>
        </w:r>
      </w:hyperlink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物流企业（项目）年上缴税金超过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300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万元的，按上缴税金县级财政地方留成部分的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50%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给予奖励；对引进的银行和非银行金融机构，自机构营业之日起，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5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年内营业税、企业所得税县级财政地方留成部分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50%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给予奖励。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第八条　对企业总机构迁来我县纳税的，自上缴税收之日起，前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3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年企业缴纳税收的县级留成部分予以全额奖励，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3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年以后按县级分成部分的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50%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给予奖励。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第九条　支持企业上市融资，凡本县企业或以外商投资企业为主体，在境内外场外交易市场挂牌上市的，一次性给予企业法人代表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20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万元的奖励；在境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lastRenderedPageBreak/>
        <w:t>内外主板、中小板上市的，一次性给予企业法人代表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100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万元的奖励；对通过配股、增发等形式再融资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2000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万元以上且在临邑投资建设项目的，</w:t>
      </w:r>
      <w:proofErr w:type="gramStart"/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按再融资</w:t>
      </w:r>
      <w:proofErr w:type="gramEnd"/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额的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2‰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给予奖励，奖励最高限额为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100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万元。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 xml:space="preserve">　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 xml:space="preserve">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第十条　引进境外资金建设的工业和服务业项目，享受临邑县招商引资优惠政策，同时享受国家和省市有关优惠政策。</w:t>
      </w:r>
    </w:p>
    <w:p w:rsidR="00E20EEB" w:rsidRPr="00E20EEB" w:rsidRDefault="00E20EEB" w:rsidP="00E20EEB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E20EEB">
        <w:rPr>
          <w:rFonts w:ascii="Arial" w:eastAsia="宋体" w:hAnsi="Arial" w:cs="Arial"/>
          <w:b/>
          <w:bCs/>
          <w:color w:val="444444"/>
          <w:kern w:val="0"/>
          <w:sz w:val="24"/>
          <w:szCs w:val="24"/>
          <w:bdr w:val="none" w:sz="0" w:space="0" w:color="auto" w:frame="1"/>
        </w:rPr>
        <w:t>第四章　收费减免政策</w:t>
      </w:r>
    </w:p>
    <w:p w:rsidR="00E20EEB" w:rsidRPr="00E20EEB" w:rsidRDefault="00E20EEB" w:rsidP="00E20EEB">
      <w:pPr>
        <w:widowControl/>
        <w:shd w:val="clear" w:color="auto" w:fill="FFFFFF"/>
        <w:spacing w:before="150" w:after="150" w:line="450" w:lineRule="atLeast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第十一条　国家、省规定的行政事业性、服务性收费，按规定执行；其中有上下限的按下限收取；服务性收费按最低标准收取。对工业项目和无产权销售的服务业项目，免收县级职权范围内的行政事业性收费。</w:t>
      </w:r>
    </w:p>
    <w:p w:rsidR="00E20EEB" w:rsidRPr="00E20EEB" w:rsidRDefault="00E20EEB" w:rsidP="00E20EEB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E20EEB">
        <w:rPr>
          <w:rFonts w:ascii="Arial" w:eastAsia="宋体" w:hAnsi="Arial" w:cs="Arial"/>
          <w:b/>
          <w:bCs/>
          <w:color w:val="444444"/>
          <w:kern w:val="0"/>
          <w:sz w:val="24"/>
          <w:szCs w:val="24"/>
          <w:bdr w:val="none" w:sz="0" w:space="0" w:color="auto" w:frame="1"/>
        </w:rPr>
        <w:t>第五章　资金支持政策</w:t>
      </w:r>
    </w:p>
    <w:p w:rsidR="00E20EEB" w:rsidRPr="00E20EEB" w:rsidRDefault="00E20EEB" w:rsidP="00E20EEB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第十二条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 xml:space="preserve">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对外来投资者来我县投资建设的工业和服务业项目，符合国家和省市重点项目标准和要求的，优先争取上级扶持政策。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第十三条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 xml:space="preserve">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加大对外来投资企业的信贷支持，引导金融机构对有竞争力、有市场、有发展潜力、信用记录良好、符合国家产业政策和产业结构调整方向的外来投资企业，积极给予信贷支持。</w:t>
      </w:r>
    </w:p>
    <w:p w:rsidR="00E20EEB" w:rsidRPr="00E20EEB" w:rsidRDefault="00E20EEB" w:rsidP="00E20EEB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E20EEB">
        <w:rPr>
          <w:rFonts w:ascii="Arial" w:eastAsia="宋体" w:hAnsi="Arial" w:cs="Arial"/>
          <w:b/>
          <w:bCs/>
          <w:color w:val="444444"/>
          <w:kern w:val="0"/>
          <w:sz w:val="24"/>
          <w:szCs w:val="24"/>
          <w:bdr w:val="none" w:sz="0" w:space="0" w:color="auto" w:frame="1"/>
        </w:rPr>
        <w:t>第六章　环境服务政策</w:t>
      </w:r>
    </w:p>
    <w:p w:rsidR="00E20EEB" w:rsidRPr="00E20EEB" w:rsidRDefault="00E20EEB" w:rsidP="00E20EEB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第十四条　对外来投资项目，均实行县领导挂包招商引资项目责任制，并成立由县领导任组长、相关部门主要负责人为成员的专门服务小组，协助外来投资企业办理注册、立项、安评、环评、规划、建设、土地、企业代码、税务登记以及</w:t>
      </w:r>
      <w:hyperlink r:id="rId18" w:tgtFrame="_blank" w:history="1">
        <w:r w:rsidRPr="00E20EEB">
          <w:rPr>
            <w:rFonts w:ascii="微软雅黑" w:eastAsia="微软雅黑" w:hAnsi="微软雅黑" w:cs="Arial" w:hint="eastAsia"/>
            <w:color w:val="CC0000"/>
            <w:kern w:val="0"/>
            <w:sz w:val="24"/>
            <w:szCs w:val="24"/>
            <w:u w:val="single"/>
            <w:bdr w:val="none" w:sz="0" w:space="0" w:color="auto" w:frame="1"/>
          </w:rPr>
          <w:t>供水</w:t>
        </w:r>
      </w:hyperlink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、供电等手续，解决问题和困难。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第十五条　政务服务中心为外来投资企业办理各种行政审批手续。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第十六条　将道路、高压线路、供排水管网、通信、有线电视、蒸汽管网、燃气管网铺设到项目厂区外，并整</w:t>
      </w:r>
      <w:proofErr w:type="gramStart"/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平项目</w:t>
      </w:r>
      <w:proofErr w:type="gramEnd"/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内土地，达到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“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七通一平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”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。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 xml:space="preserve">第十七条　</w:t>
      </w:r>
      <w:proofErr w:type="gramStart"/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人社部门</w:t>
      </w:r>
      <w:proofErr w:type="gramEnd"/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为外来投资企业引进各类专业人才，县乡机关事业单位人员愿到外来企业工作的，优先给予支持。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第十八条　为项目建设、生产经营提供安全稳定的社会治安环境。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第十九条　外来投资企业依法享有充分的财产权、生产经营自主权、用人用工自主权等各项权利。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lastRenderedPageBreak/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第二十条　为外来投资企业提供户口迁移、子女入学、办公、住宿、护照签证等生活服务。</w:t>
      </w:r>
    </w:p>
    <w:p w:rsidR="00E20EEB" w:rsidRPr="00E20EEB" w:rsidRDefault="00E20EEB" w:rsidP="00E20EEB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E20EEB">
        <w:rPr>
          <w:rFonts w:ascii="Arial" w:eastAsia="宋体" w:hAnsi="Arial" w:cs="Arial"/>
          <w:b/>
          <w:bCs/>
          <w:color w:val="444444"/>
          <w:kern w:val="0"/>
          <w:sz w:val="24"/>
          <w:szCs w:val="24"/>
          <w:bdr w:val="none" w:sz="0" w:space="0" w:color="auto" w:frame="1"/>
        </w:rPr>
        <w:t>第七章　附则</w:t>
      </w:r>
    </w:p>
    <w:p w:rsidR="00E20EEB" w:rsidRPr="00E20EEB" w:rsidRDefault="00E20EEB" w:rsidP="00E20EEB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第二十一条　本政策涉及的实际固定资产投资数额，由县财政局牵头组织县考核办、审计局、住建局、国土局、商务局、房管中心、引资单位等部门审核确定，作为奖励依据。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第二十二条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 xml:space="preserve">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本政策自发布之日起施行，以前出台的相关招商引资优惠政策文件同时废止。</w:t>
      </w:r>
      <w:r w:rsidR="00AD6788">
        <w:rPr>
          <w:rFonts w:ascii="Arial" w:eastAsia="宋体" w:hAnsi="Arial" w:cs="Arial"/>
          <w:color w:val="444444"/>
          <w:kern w:val="0"/>
          <w:sz w:val="24"/>
          <w:szCs w:val="24"/>
        </w:rPr>
        <w:tab/>
      </w:r>
      <w:bookmarkStart w:id="0" w:name="_GoBack"/>
      <w:bookmarkEnd w:id="0"/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br/>
        <w:t xml:space="preserve">    </w:t>
      </w: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第二十三条　本政策由县招商促进办公室负责解释。</w:t>
      </w:r>
    </w:p>
    <w:p w:rsidR="00E20EEB" w:rsidRPr="00E20EEB" w:rsidRDefault="00E20EEB" w:rsidP="00E20EEB">
      <w:pPr>
        <w:widowControl/>
        <w:shd w:val="clear" w:color="auto" w:fill="FFFFFF"/>
        <w:spacing w:before="150" w:after="150" w:line="450" w:lineRule="atLeast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E20EEB">
        <w:rPr>
          <w:rFonts w:ascii="Arial" w:eastAsia="宋体" w:hAnsi="Arial" w:cs="Arial"/>
          <w:color w:val="444444"/>
          <w:kern w:val="0"/>
          <w:sz w:val="24"/>
          <w:szCs w:val="24"/>
        </w:rPr>
        <w:t> </w:t>
      </w:r>
    </w:p>
    <w:p w:rsidR="00E20EEB" w:rsidRPr="00E20EEB" w:rsidRDefault="00E20EEB" w:rsidP="00E20EEB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</w:p>
    <w:p w:rsidR="00E20EEB" w:rsidRPr="00E20EEB" w:rsidRDefault="00E20EEB" w:rsidP="00E20EEB">
      <w:pPr>
        <w:widowControl/>
        <w:shd w:val="clear" w:color="auto" w:fill="FFFFFF"/>
        <w:jc w:val="left"/>
        <w:rPr>
          <w:rFonts w:ascii="Arial" w:eastAsia="宋体" w:hAnsi="Arial" w:cs="Arial"/>
          <w:color w:val="033266"/>
          <w:kern w:val="0"/>
          <w:szCs w:val="21"/>
        </w:rPr>
      </w:pPr>
      <w:r w:rsidRPr="00E20EEB">
        <w:rPr>
          <w:rFonts w:ascii="Arial" w:eastAsia="宋体" w:hAnsi="Arial" w:cs="Arial"/>
          <w:noProof/>
          <w:color w:val="033266"/>
          <w:kern w:val="0"/>
          <w:szCs w:val="21"/>
        </w:rPr>
        <w:drawing>
          <wp:inline distT="0" distB="0" distL="0" distR="0">
            <wp:extent cx="171450" cy="158750"/>
            <wp:effectExtent l="0" t="0" r="0" b="0"/>
            <wp:docPr id="1" name="图片 1" descr="标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标签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EB" w:rsidRPr="00E20EEB" w:rsidRDefault="00E20EEB" w:rsidP="00E20EEB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BBBBBB"/>
          <w:kern w:val="0"/>
          <w:sz w:val="18"/>
          <w:szCs w:val="18"/>
        </w:rPr>
      </w:pPr>
      <w:r w:rsidRPr="00E20EEB">
        <w:rPr>
          <w:rFonts w:ascii="Arial" w:eastAsia="宋体" w:hAnsi="Arial" w:cs="Arial"/>
          <w:color w:val="BBBBBB"/>
          <w:kern w:val="0"/>
          <w:sz w:val="18"/>
          <w:szCs w:val="18"/>
        </w:rPr>
        <w:t>责任编辑：张玉祥</w:t>
      </w:r>
    </w:p>
    <w:p w:rsidR="00936870" w:rsidRDefault="00936870"/>
    <w:sectPr w:rsidR="00936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EB"/>
    <w:rsid w:val="00936870"/>
    <w:rsid w:val="00AD6788"/>
    <w:rsid w:val="00E2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7DE1F-B308-4AE4-914A-F8D00028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20EE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20EE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0EE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20EEB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20EEB"/>
    <w:rPr>
      <w:color w:val="0000FF"/>
      <w:u w:val="single"/>
    </w:rPr>
  </w:style>
  <w:style w:type="character" w:customStyle="1" w:styleId="bsharecount">
    <w:name w:val="bshare_count"/>
    <w:basedOn w:val="a0"/>
    <w:rsid w:val="00E20EEB"/>
  </w:style>
  <w:style w:type="character" w:customStyle="1" w:styleId="sumcolor">
    <w:name w:val="sum_color"/>
    <w:basedOn w:val="a0"/>
    <w:rsid w:val="00E20EEB"/>
  </w:style>
  <w:style w:type="character" w:customStyle="1" w:styleId="sumtir">
    <w:name w:val="sum_tir"/>
    <w:basedOn w:val="a0"/>
    <w:rsid w:val="00E20EEB"/>
  </w:style>
  <w:style w:type="paragraph" w:styleId="a4">
    <w:name w:val="Normal (Web)"/>
    <w:basedOn w:val="a"/>
    <w:uiPriority w:val="99"/>
    <w:semiHidden/>
    <w:unhideWhenUsed/>
    <w:rsid w:val="00E20E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20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E4E4E4"/>
            <w:right w:val="none" w:sz="0" w:space="0" w:color="auto"/>
          </w:divBdr>
          <w:divsChild>
            <w:div w:id="4813928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2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66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30158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8" w:color="auto"/>
            <w:bottom w:val="dashed" w:sz="6" w:space="0" w:color="E4E4E4"/>
            <w:right w:val="none" w:sz="0" w:space="8" w:color="auto"/>
          </w:divBdr>
          <w:divsChild>
            <w:div w:id="127164859">
              <w:marLeft w:val="0"/>
              <w:marRight w:val="0"/>
              <w:marTop w:val="1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81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sxzs.com/list-1212.html" TargetMode="External"/><Relationship Id="rId13" Type="http://schemas.openxmlformats.org/officeDocument/2006/relationships/hyperlink" Target="http://www.zgsxzs.com/category.php?pid=21" TargetMode="External"/><Relationship Id="rId18" Type="http://schemas.openxmlformats.org/officeDocument/2006/relationships/hyperlink" Target="http://www.zgsxzs.com/c/HangYeFenLei.php?typeid2=18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zgsxzs.com/" TargetMode="External"/><Relationship Id="rId12" Type="http://schemas.openxmlformats.org/officeDocument/2006/relationships/hyperlink" Target="http://www.zgsxzs.com/industry/1118.html" TargetMode="External"/><Relationship Id="rId17" Type="http://schemas.openxmlformats.org/officeDocument/2006/relationships/hyperlink" Target="http://zgsxzs.cn/industry/107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gsxzs.com/industry/1092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share.cn/" TargetMode="External"/><Relationship Id="rId11" Type="http://schemas.openxmlformats.org/officeDocument/2006/relationships/hyperlink" Target="http://zgsxzs.cn/industry/1072.html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zgsxzs.com/c/HangYeFenLei.php?typeid2=119" TargetMode="External"/><Relationship Id="rId10" Type="http://schemas.openxmlformats.org/officeDocument/2006/relationships/hyperlink" Target="http://zgsxzs.cn/industry/1072.html" TargetMode="External"/><Relationship Id="rId19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zgsxzs.com/list-1212.html" TargetMode="External"/><Relationship Id="rId14" Type="http://schemas.openxmlformats.org/officeDocument/2006/relationships/hyperlink" Target="http://www.zgsxzs.com/c/HangYeFenLei.php?typeid2=11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3</cp:revision>
  <dcterms:created xsi:type="dcterms:W3CDTF">2018-05-21T05:25:00Z</dcterms:created>
  <dcterms:modified xsi:type="dcterms:W3CDTF">2018-09-07T02:28:00Z</dcterms:modified>
</cp:coreProperties>
</file>