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6" w:space="0" w:color="DBDBDB"/>
          <w:left w:val="single" w:sz="6" w:space="0" w:color="DBDBDB"/>
          <w:bottom w:val="single" w:sz="6" w:space="0" w:color="DBDBDB"/>
          <w:right w:val="single" w:sz="6" w:space="0" w:color="DBDBDB"/>
        </w:tblBorders>
        <w:tblCellMar>
          <w:left w:w="0" w:type="dxa"/>
          <w:right w:w="0" w:type="dxa"/>
        </w:tblCellMar>
        <w:tblLook w:val="04A0" w:firstRow="1" w:lastRow="0" w:firstColumn="1" w:lastColumn="0" w:noHBand="0" w:noVBand="1"/>
      </w:tblPr>
      <w:tblGrid>
        <w:gridCol w:w="8290"/>
      </w:tblGrid>
      <w:tr w:rsidR="00F9782A" w:rsidRPr="00F9782A" w:rsidTr="00F9782A">
        <w:tc>
          <w:tcPr>
            <w:tcW w:w="0" w:type="auto"/>
            <w:vAlign w:val="center"/>
            <w:hideMark/>
          </w:tcPr>
          <w:tbl>
            <w:tblPr>
              <w:tblW w:w="4750" w:type="pct"/>
              <w:tblCellMar>
                <w:left w:w="0" w:type="dxa"/>
                <w:right w:w="0" w:type="dxa"/>
              </w:tblCellMar>
              <w:tblLook w:val="04A0" w:firstRow="1" w:lastRow="0" w:firstColumn="1" w:lastColumn="0" w:noHBand="0" w:noVBand="1"/>
            </w:tblPr>
            <w:tblGrid>
              <w:gridCol w:w="769"/>
              <w:gridCol w:w="2330"/>
              <w:gridCol w:w="770"/>
              <w:gridCol w:w="1755"/>
              <w:gridCol w:w="770"/>
              <w:gridCol w:w="1467"/>
            </w:tblGrid>
            <w:tr w:rsidR="00F9782A" w:rsidRPr="00F9782A">
              <w:tc>
                <w:tcPr>
                  <w:tcW w:w="1200" w:type="dxa"/>
                  <w:vAlign w:val="center"/>
                  <w:hideMark/>
                </w:tcPr>
                <w:p w:rsidR="00F9782A" w:rsidRPr="00F9782A" w:rsidRDefault="00F9782A" w:rsidP="00F9782A">
                  <w:pPr>
                    <w:widowControl/>
                    <w:spacing w:line="360" w:lineRule="atLeast"/>
                    <w:jc w:val="left"/>
                    <w:rPr>
                      <w:rFonts w:ascii="宋体" w:eastAsia="宋体" w:hAnsi="宋体" w:cs="宋体"/>
                      <w:kern w:val="0"/>
                      <w:sz w:val="24"/>
                      <w:szCs w:val="24"/>
                    </w:rPr>
                  </w:pPr>
                  <w:r w:rsidRPr="00F9782A">
                    <w:rPr>
                      <w:rFonts w:ascii="宋体" w:eastAsia="宋体" w:hAnsi="宋体" w:cs="宋体"/>
                      <w:b/>
                      <w:bCs/>
                      <w:kern w:val="0"/>
                      <w:sz w:val="24"/>
                      <w:szCs w:val="24"/>
                    </w:rPr>
                    <w:t>索 引 号：</w:t>
                  </w:r>
                </w:p>
              </w:tc>
              <w:tc>
                <w:tcPr>
                  <w:tcW w:w="3300" w:type="dxa"/>
                  <w:vAlign w:val="center"/>
                  <w:hideMark/>
                </w:tcPr>
                <w:p w:rsidR="00F9782A" w:rsidRPr="00F9782A" w:rsidRDefault="00F9782A" w:rsidP="00F9782A">
                  <w:pPr>
                    <w:widowControl/>
                    <w:spacing w:line="360" w:lineRule="atLeast"/>
                    <w:jc w:val="left"/>
                    <w:rPr>
                      <w:rFonts w:ascii="宋体" w:eastAsia="宋体" w:hAnsi="宋体" w:cs="宋体"/>
                      <w:kern w:val="0"/>
                      <w:sz w:val="24"/>
                      <w:szCs w:val="24"/>
                    </w:rPr>
                  </w:pPr>
                  <w:r w:rsidRPr="00F9782A">
                    <w:rPr>
                      <w:rFonts w:ascii="宋体" w:eastAsia="宋体" w:hAnsi="宋体" w:cs="宋体"/>
                      <w:kern w:val="0"/>
                      <w:sz w:val="24"/>
                      <w:szCs w:val="24"/>
                    </w:rPr>
                    <w:t>43060001/2016-652849</w:t>
                  </w:r>
                </w:p>
              </w:tc>
              <w:tc>
                <w:tcPr>
                  <w:tcW w:w="1200" w:type="dxa"/>
                  <w:vAlign w:val="center"/>
                  <w:hideMark/>
                </w:tcPr>
                <w:p w:rsidR="00F9782A" w:rsidRPr="00F9782A" w:rsidRDefault="00F9782A" w:rsidP="00F9782A">
                  <w:pPr>
                    <w:widowControl/>
                    <w:spacing w:line="360" w:lineRule="atLeast"/>
                    <w:jc w:val="left"/>
                    <w:rPr>
                      <w:rFonts w:ascii="宋体" w:eastAsia="宋体" w:hAnsi="宋体" w:cs="宋体"/>
                      <w:kern w:val="0"/>
                      <w:sz w:val="24"/>
                      <w:szCs w:val="24"/>
                    </w:rPr>
                  </w:pPr>
                  <w:r w:rsidRPr="00F9782A">
                    <w:rPr>
                      <w:rFonts w:ascii="宋体" w:eastAsia="宋体" w:hAnsi="宋体" w:cs="宋体"/>
                      <w:b/>
                      <w:bCs/>
                      <w:kern w:val="0"/>
                      <w:sz w:val="24"/>
                      <w:szCs w:val="24"/>
                    </w:rPr>
                    <w:t>发布机构：</w:t>
                  </w:r>
                </w:p>
              </w:tc>
              <w:tc>
                <w:tcPr>
                  <w:tcW w:w="3300" w:type="dxa"/>
                  <w:vAlign w:val="center"/>
                  <w:hideMark/>
                </w:tcPr>
                <w:p w:rsidR="00F9782A" w:rsidRPr="00F9782A" w:rsidRDefault="00F9782A" w:rsidP="00F9782A">
                  <w:pPr>
                    <w:widowControl/>
                    <w:spacing w:line="360" w:lineRule="atLeast"/>
                    <w:jc w:val="left"/>
                    <w:rPr>
                      <w:rFonts w:ascii="宋体" w:eastAsia="宋体" w:hAnsi="宋体" w:cs="宋体"/>
                      <w:kern w:val="0"/>
                      <w:sz w:val="24"/>
                      <w:szCs w:val="24"/>
                    </w:rPr>
                  </w:pPr>
                  <w:r w:rsidRPr="00F9782A">
                    <w:rPr>
                      <w:rFonts w:ascii="宋体" w:eastAsia="宋体" w:hAnsi="宋体" w:cs="宋体"/>
                      <w:kern w:val="0"/>
                      <w:sz w:val="24"/>
                      <w:szCs w:val="24"/>
                    </w:rPr>
                    <w:t>岳阳市人民政府办公室</w:t>
                  </w:r>
                </w:p>
              </w:tc>
              <w:tc>
                <w:tcPr>
                  <w:tcW w:w="1200" w:type="dxa"/>
                  <w:vAlign w:val="center"/>
                  <w:hideMark/>
                </w:tcPr>
                <w:p w:rsidR="00F9782A" w:rsidRPr="00F9782A" w:rsidRDefault="00F9782A" w:rsidP="00F9782A">
                  <w:pPr>
                    <w:widowControl/>
                    <w:spacing w:line="360" w:lineRule="atLeast"/>
                    <w:jc w:val="left"/>
                    <w:rPr>
                      <w:rFonts w:ascii="宋体" w:eastAsia="宋体" w:hAnsi="宋体" w:cs="宋体"/>
                      <w:kern w:val="0"/>
                      <w:sz w:val="24"/>
                      <w:szCs w:val="24"/>
                    </w:rPr>
                  </w:pPr>
                  <w:r w:rsidRPr="00F9782A">
                    <w:rPr>
                      <w:rFonts w:ascii="宋体" w:eastAsia="宋体" w:hAnsi="宋体" w:cs="宋体"/>
                      <w:b/>
                      <w:bCs/>
                      <w:kern w:val="0"/>
                      <w:sz w:val="24"/>
                      <w:szCs w:val="24"/>
                    </w:rPr>
                    <w:t>信息状态：</w:t>
                  </w:r>
                </w:p>
              </w:tc>
              <w:tc>
                <w:tcPr>
                  <w:tcW w:w="3300" w:type="dxa"/>
                  <w:vAlign w:val="center"/>
                  <w:hideMark/>
                </w:tcPr>
                <w:p w:rsidR="00F9782A" w:rsidRPr="00F9782A" w:rsidRDefault="00F9782A" w:rsidP="00F9782A">
                  <w:pPr>
                    <w:widowControl/>
                    <w:spacing w:line="360" w:lineRule="atLeast"/>
                    <w:jc w:val="left"/>
                    <w:rPr>
                      <w:rFonts w:ascii="宋体" w:eastAsia="宋体" w:hAnsi="宋体" w:cs="宋体"/>
                      <w:kern w:val="0"/>
                      <w:sz w:val="24"/>
                      <w:szCs w:val="24"/>
                    </w:rPr>
                  </w:pPr>
                  <w:r w:rsidRPr="00F9782A">
                    <w:rPr>
                      <w:rFonts w:ascii="宋体" w:eastAsia="宋体" w:hAnsi="宋体" w:cs="宋体"/>
                      <w:color w:val="FF0000"/>
                      <w:kern w:val="0"/>
                      <w:sz w:val="24"/>
                      <w:szCs w:val="24"/>
                    </w:rPr>
                    <w:t>需评估</w:t>
                  </w:r>
                </w:p>
              </w:tc>
            </w:tr>
            <w:tr w:rsidR="00F9782A" w:rsidRPr="00F9782A">
              <w:tc>
                <w:tcPr>
                  <w:tcW w:w="1200" w:type="dxa"/>
                  <w:vAlign w:val="center"/>
                  <w:hideMark/>
                </w:tcPr>
                <w:p w:rsidR="00F9782A" w:rsidRPr="00F9782A" w:rsidRDefault="00F9782A" w:rsidP="00F9782A">
                  <w:pPr>
                    <w:widowControl/>
                    <w:spacing w:line="360" w:lineRule="atLeast"/>
                    <w:jc w:val="left"/>
                    <w:rPr>
                      <w:rFonts w:ascii="宋体" w:eastAsia="宋体" w:hAnsi="宋体" w:cs="宋体"/>
                      <w:kern w:val="0"/>
                      <w:sz w:val="24"/>
                      <w:szCs w:val="24"/>
                    </w:rPr>
                  </w:pPr>
                  <w:r w:rsidRPr="00F9782A">
                    <w:rPr>
                      <w:rFonts w:ascii="宋体" w:eastAsia="宋体" w:hAnsi="宋体" w:cs="宋体"/>
                      <w:b/>
                      <w:bCs/>
                      <w:kern w:val="0"/>
                      <w:sz w:val="24"/>
                      <w:szCs w:val="24"/>
                    </w:rPr>
                    <w:t>文　　号：</w:t>
                  </w:r>
                </w:p>
              </w:tc>
              <w:tc>
                <w:tcPr>
                  <w:tcW w:w="3300" w:type="dxa"/>
                  <w:vAlign w:val="center"/>
                  <w:hideMark/>
                </w:tcPr>
                <w:p w:rsidR="00F9782A" w:rsidRPr="00F9782A" w:rsidRDefault="00F9782A" w:rsidP="00F9782A">
                  <w:pPr>
                    <w:widowControl/>
                    <w:spacing w:line="360" w:lineRule="atLeast"/>
                    <w:jc w:val="left"/>
                    <w:rPr>
                      <w:rFonts w:ascii="宋体" w:eastAsia="宋体" w:hAnsi="宋体" w:cs="宋体"/>
                      <w:kern w:val="0"/>
                      <w:sz w:val="24"/>
                      <w:szCs w:val="24"/>
                    </w:rPr>
                  </w:pPr>
                  <w:r w:rsidRPr="00F9782A">
                    <w:rPr>
                      <w:rFonts w:ascii="宋体" w:eastAsia="宋体" w:hAnsi="宋体" w:cs="宋体"/>
                      <w:kern w:val="0"/>
                      <w:sz w:val="24"/>
                      <w:szCs w:val="24"/>
                    </w:rPr>
                    <w:t>岳政发〔2016〕9号</w:t>
                  </w:r>
                </w:p>
              </w:tc>
              <w:tc>
                <w:tcPr>
                  <w:tcW w:w="1050" w:type="dxa"/>
                  <w:vAlign w:val="center"/>
                  <w:hideMark/>
                </w:tcPr>
                <w:p w:rsidR="00F9782A" w:rsidRPr="00F9782A" w:rsidRDefault="00F9782A" w:rsidP="00F9782A">
                  <w:pPr>
                    <w:widowControl/>
                    <w:spacing w:line="360" w:lineRule="atLeast"/>
                    <w:jc w:val="left"/>
                    <w:rPr>
                      <w:rFonts w:ascii="宋体" w:eastAsia="宋体" w:hAnsi="宋体" w:cs="宋体"/>
                      <w:kern w:val="0"/>
                      <w:sz w:val="24"/>
                      <w:szCs w:val="24"/>
                    </w:rPr>
                  </w:pPr>
                  <w:r w:rsidRPr="00F9782A">
                    <w:rPr>
                      <w:rFonts w:ascii="宋体" w:eastAsia="宋体" w:hAnsi="宋体" w:cs="宋体"/>
                      <w:b/>
                      <w:bCs/>
                      <w:kern w:val="0"/>
                      <w:sz w:val="24"/>
                      <w:szCs w:val="24"/>
                    </w:rPr>
                    <w:t>统一登记号：</w:t>
                  </w:r>
                </w:p>
              </w:tc>
              <w:tc>
                <w:tcPr>
                  <w:tcW w:w="3300" w:type="dxa"/>
                  <w:vAlign w:val="center"/>
                  <w:hideMark/>
                </w:tcPr>
                <w:p w:rsidR="00F9782A" w:rsidRPr="00F9782A" w:rsidRDefault="00F9782A" w:rsidP="00F9782A">
                  <w:pPr>
                    <w:widowControl/>
                    <w:spacing w:line="360" w:lineRule="atLeast"/>
                    <w:jc w:val="left"/>
                    <w:rPr>
                      <w:rFonts w:ascii="宋体" w:eastAsia="宋体" w:hAnsi="宋体" w:cs="宋体"/>
                      <w:kern w:val="0"/>
                      <w:sz w:val="24"/>
                      <w:szCs w:val="24"/>
                    </w:rPr>
                  </w:pPr>
                  <w:r w:rsidRPr="00F9782A">
                    <w:rPr>
                      <w:rFonts w:ascii="宋体" w:eastAsia="宋体" w:hAnsi="宋体" w:cs="宋体"/>
                      <w:kern w:val="0"/>
                      <w:sz w:val="24"/>
                      <w:szCs w:val="24"/>
                    </w:rPr>
                    <w:t>YYCR—2016—00013</w:t>
                  </w:r>
                </w:p>
              </w:tc>
              <w:tc>
                <w:tcPr>
                  <w:tcW w:w="1200" w:type="dxa"/>
                  <w:vAlign w:val="center"/>
                  <w:hideMark/>
                </w:tcPr>
                <w:p w:rsidR="00F9782A" w:rsidRPr="00F9782A" w:rsidRDefault="00F9782A" w:rsidP="00F9782A">
                  <w:pPr>
                    <w:widowControl/>
                    <w:spacing w:line="360" w:lineRule="atLeast"/>
                    <w:jc w:val="left"/>
                    <w:rPr>
                      <w:rFonts w:ascii="宋体" w:eastAsia="宋体" w:hAnsi="宋体" w:cs="宋体"/>
                      <w:kern w:val="0"/>
                      <w:sz w:val="24"/>
                      <w:szCs w:val="24"/>
                    </w:rPr>
                  </w:pPr>
                  <w:r w:rsidRPr="00F9782A">
                    <w:rPr>
                      <w:rFonts w:ascii="宋体" w:eastAsia="宋体" w:hAnsi="宋体" w:cs="宋体"/>
                      <w:b/>
                      <w:bCs/>
                      <w:kern w:val="0"/>
                      <w:sz w:val="24"/>
                      <w:szCs w:val="24"/>
                    </w:rPr>
                    <w:t>公开范围：</w:t>
                  </w:r>
                </w:p>
              </w:tc>
              <w:tc>
                <w:tcPr>
                  <w:tcW w:w="3300" w:type="dxa"/>
                  <w:vAlign w:val="center"/>
                  <w:hideMark/>
                </w:tcPr>
                <w:p w:rsidR="00F9782A" w:rsidRPr="00F9782A" w:rsidRDefault="00F9782A" w:rsidP="00F9782A">
                  <w:pPr>
                    <w:widowControl/>
                    <w:spacing w:line="360" w:lineRule="atLeast"/>
                    <w:jc w:val="left"/>
                    <w:rPr>
                      <w:rFonts w:ascii="宋体" w:eastAsia="宋体" w:hAnsi="宋体" w:cs="宋体"/>
                      <w:kern w:val="0"/>
                      <w:sz w:val="24"/>
                      <w:szCs w:val="24"/>
                    </w:rPr>
                  </w:pPr>
                  <w:r w:rsidRPr="00F9782A">
                    <w:rPr>
                      <w:rFonts w:ascii="宋体" w:eastAsia="宋体" w:hAnsi="宋体" w:cs="宋体"/>
                      <w:kern w:val="0"/>
                      <w:sz w:val="24"/>
                      <w:szCs w:val="24"/>
                    </w:rPr>
                    <w:t>全部公开</w:t>
                  </w:r>
                </w:p>
              </w:tc>
            </w:tr>
            <w:tr w:rsidR="00F9782A" w:rsidRPr="00F9782A">
              <w:tc>
                <w:tcPr>
                  <w:tcW w:w="1200" w:type="dxa"/>
                  <w:vAlign w:val="center"/>
                  <w:hideMark/>
                </w:tcPr>
                <w:p w:rsidR="00F9782A" w:rsidRPr="00F9782A" w:rsidRDefault="00F9782A" w:rsidP="00F9782A">
                  <w:pPr>
                    <w:widowControl/>
                    <w:spacing w:line="360" w:lineRule="atLeast"/>
                    <w:jc w:val="left"/>
                    <w:rPr>
                      <w:rFonts w:ascii="宋体" w:eastAsia="宋体" w:hAnsi="宋体" w:cs="宋体"/>
                      <w:kern w:val="0"/>
                      <w:sz w:val="24"/>
                      <w:szCs w:val="24"/>
                    </w:rPr>
                  </w:pPr>
                  <w:r w:rsidRPr="00F9782A">
                    <w:rPr>
                      <w:rFonts w:ascii="宋体" w:eastAsia="宋体" w:hAnsi="宋体" w:cs="宋体"/>
                      <w:b/>
                      <w:bCs/>
                      <w:kern w:val="0"/>
                      <w:sz w:val="24"/>
                      <w:szCs w:val="24"/>
                    </w:rPr>
                    <w:t>生效日期：</w:t>
                  </w:r>
                </w:p>
              </w:tc>
              <w:tc>
                <w:tcPr>
                  <w:tcW w:w="3300" w:type="dxa"/>
                  <w:vAlign w:val="center"/>
                  <w:hideMark/>
                </w:tcPr>
                <w:p w:rsidR="00F9782A" w:rsidRPr="00F9782A" w:rsidRDefault="00F9782A" w:rsidP="00F9782A">
                  <w:pPr>
                    <w:widowControl/>
                    <w:spacing w:line="360" w:lineRule="atLeast"/>
                    <w:jc w:val="left"/>
                    <w:rPr>
                      <w:rFonts w:ascii="宋体" w:eastAsia="宋体" w:hAnsi="宋体" w:cs="宋体"/>
                      <w:kern w:val="0"/>
                      <w:sz w:val="24"/>
                      <w:szCs w:val="24"/>
                    </w:rPr>
                  </w:pPr>
                  <w:r w:rsidRPr="00F9782A">
                    <w:rPr>
                      <w:rFonts w:ascii="宋体" w:eastAsia="宋体" w:hAnsi="宋体" w:cs="宋体"/>
                      <w:kern w:val="0"/>
                      <w:sz w:val="24"/>
                      <w:szCs w:val="24"/>
                    </w:rPr>
                    <w:t>2017-01-01</w:t>
                  </w:r>
                </w:p>
              </w:tc>
              <w:tc>
                <w:tcPr>
                  <w:tcW w:w="1200" w:type="dxa"/>
                  <w:vAlign w:val="center"/>
                  <w:hideMark/>
                </w:tcPr>
                <w:p w:rsidR="00F9782A" w:rsidRPr="00F9782A" w:rsidRDefault="00F9782A" w:rsidP="00F9782A">
                  <w:pPr>
                    <w:widowControl/>
                    <w:spacing w:line="360" w:lineRule="atLeast"/>
                    <w:jc w:val="left"/>
                    <w:rPr>
                      <w:rFonts w:ascii="宋体" w:eastAsia="宋体" w:hAnsi="宋体" w:cs="宋体"/>
                      <w:kern w:val="0"/>
                      <w:sz w:val="24"/>
                      <w:szCs w:val="24"/>
                    </w:rPr>
                  </w:pPr>
                  <w:r w:rsidRPr="00F9782A">
                    <w:rPr>
                      <w:rFonts w:ascii="宋体" w:eastAsia="宋体" w:hAnsi="宋体" w:cs="宋体"/>
                      <w:b/>
                      <w:bCs/>
                      <w:kern w:val="0"/>
                      <w:sz w:val="24"/>
                      <w:szCs w:val="24"/>
                    </w:rPr>
                    <w:t>失效日期：</w:t>
                  </w:r>
                </w:p>
              </w:tc>
              <w:tc>
                <w:tcPr>
                  <w:tcW w:w="3300" w:type="dxa"/>
                  <w:vAlign w:val="center"/>
                  <w:hideMark/>
                </w:tcPr>
                <w:p w:rsidR="00F9782A" w:rsidRPr="00F9782A" w:rsidRDefault="00F9782A" w:rsidP="00F9782A">
                  <w:pPr>
                    <w:widowControl/>
                    <w:spacing w:line="360" w:lineRule="atLeast"/>
                    <w:jc w:val="left"/>
                    <w:rPr>
                      <w:rFonts w:ascii="宋体" w:eastAsia="宋体" w:hAnsi="宋体" w:cs="宋体"/>
                      <w:kern w:val="0"/>
                      <w:sz w:val="24"/>
                      <w:szCs w:val="24"/>
                    </w:rPr>
                  </w:pPr>
                  <w:r w:rsidRPr="00F9782A">
                    <w:rPr>
                      <w:rFonts w:ascii="宋体" w:eastAsia="宋体" w:hAnsi="宋体" w:cs="宋体"/>
                      <w:kern w:val="0"/>
                      <w:sz w:val="24"/>
                      <w:szCs w:val="24"/>
                    </w:rPr>
                    <w:t>2019-01-01</w:t>
                  </w:r>
                </w:p>
              </w:tc>
              <w:tc>
                <w:tcPr>
                  <w:tcW w:w="1200" w:type="dxa"/>
                  <w:vAlign w:val="center"/>
                  <w:hideMark/>
                </w:tcPr>
                <w:p w:rsidR="00F9782A" w:rsidRPr="00F9782A" w:rsidRDefault="00F9782A" w:rsidP="00F9782A">
                  <w:pPr>
                    <w:widowControl/>
                    <w:spacing w:line="360" w:lineRule="atLeast"/>
                    <w:jc w:val="left"/>
                    <w:rPr>
                      <w:rFonts w:ascii="宋体" w:eastAsia="宋体" w:hAnsi="宋体" w:cs="宋体"/>
                      <w:kern w:val="0"/>
                      <w:sz w:val="24"/>
                      <w:szCs w:val="24"/>
                    </w:rPr>
                  </w:pPr>
                  <w:r w:rsidRPr="00F9782A">
                    <w:rPr>
                      <w:rFonts w:ascii="宋体" w:eastAsia="宋体" w:hAnsi="宋体" w:cs="宋体"/>
                      <w:b/>
                      <w:bCs/>
                      <w:kern w:val="0"/>
                      <w:sz w:val="24"/>
                      <w:szCs w:val="24"/>
                    </w:rPr>
                    <w:t>公开方式：</w:t>
                  </w:r>
                </w:p>
              </w:tc>
              <w:tc>
                <w:tcPr>
                  <w:tcW w:w="3300" w:type="dxa"/>
                  <w:vAlign w:val="center"/>
                  <w:hideMark/>
                </w:tcPr>
                <w:p w:rsidR="00F9782A" w:rsidRPr="00F9782A" w:rsidRDefault="00F9782A" w:rsidP="00F9782A">
                  <w:pPr>
                    <w:widowControl/>
                    <w:spacing w:line="360" w:lineRule="atLeast"/>
                    <w:jc w:val="left"/>
                    <w:rPr>
                      <w:rFonts w:ascii="宋体" w:eastAsia="宋体" w:hAnsi="宋体" w:cs="宋体"/>
                      <w:kern w:val="0"/>
                      <w:sz w:val="24"/>
                      <w:szCs w:val="24"/>
                    </w:rPr>
                  </w:pPr>
                  <w:r w:rsidRPr="00F9782A">
                    <w:rPr>
                      <w:rFonts w:ascii="宋体" w:eastAsia="宋体" w:hAnsi="宋体" w:cs="宋体"/>
                      <w:kern w:val="0"/>
                      <w:sz w:val="24"/>
                      <w:szCs w:val="24"/>
                    </w:rPr>
                    <w:t>政府网站</w:t>
                  </w:r>
                </w:p>
              </w:tc>
            </w:tr>
          </w:tbl>
          <w:p w:rsidR="00F9782A" w:rsidRPr="00F9782A" w:rsidRDefault="00F9782A" w:rsidP="00F9782A">
            <w:pPr>
              <w:widowControl/>
              <w:jc w:val="left"/>
              <w:rPr>
                <w:rFonts w:ascii="宋体" w:eastAsia="宋体" w:hAnsi="宋体" w:cs="宋体"/>
                <w:color w:val="333333"/>
                <w:kern w:val="0"/>
                <w:sz w:val="18"/>
                <w:szCs w:val="18"/>
              </w:rPr>
            </w:pPr>
          </w:p>
        </w:tc>
      </w:tr>
    </w:tbl>
    <w:p w:rsidR="00F9782A" w:rsidRPr="00F9782A" w:rsidRDefault="00F9782A" w:rsidP="00F9782A">
      <w:pPr>
        <w:widowControl/>
        <w:spacing w:line="720" w:lineRule="atLeast"/>
        <w:jc w:val="center"/>
        <w:outlineLvl w:val="0"/>
        <w:rPr>
          <w:rFonts w:ascii="微软雅黑" w:eastAsia="微软雅黑" w:hAnsi="微软雅黑" w:cs="宋体"/>
          <w:color w:val="E85513"/>
          <w:kern w:val="36"/>
          <w:sz w:val="36"/>
          <w:szCs w:val="36"/>
        </w:rPr>
      </w:pPr>
      <w:bookmarkStart w:id="0" w:name="_GoBack"/>
      <w:r w:rsidRPr="00F9782A">
        <w:rPr>
          <w:rFonts w:ascii="微软雅黑" w:eastAsia="微软雅黑" w:hAnsi="微软雅黑" w:cs="宋体" w:hint="eastAsia"/>
          <w:color w:val="E85513"/>
          <w:kern w:val="36"/>
          <w:sz w:val="36"/>
          <w:szCs w:val="36"/>
        </w:rPr>
        <w:t>岳阳市人民政府关于进一步加快开放型经济发展的意见</w:t>
      </w:r>
      <w:bookmarkEnd w:id="0"/>
      <w:r w:rsidRPr="00F9782A">
        <w:rPr>
          <w:rFonts w:ascii="微软雅黑" w:eastAsia="微软雅黑" w:hAnsi="微软雅黑" w:cs="宋体" w:hint="eastAsia"/>
          <w:color w:val="E85513"/>
          <w:kern w:val="36"/>
          <w:sz w:val="36"/>
          <w:szCs w:val="36"/>
        </w:rPr>
        <w:t>（试行）(岳政发〔2016〕9号)</w:t>
      </w:r>
    </w:p>
    <w:p w:rsidR="00F9782A" w:rsidRDefault="00F9782A" w:rsidP="005F2A1B">
      <w:pPr>
        <w:pStyle w:val="a3"/>
        <w:shd w:val="clear" w:color="auto" w:fill="FFFFFF"/>
        <w:spacing w:before="0" w:beforeAutospacing="0" w:after="0" w:afterAutospacing="0" w:line="480" w:lineRule="auto"/>
        <w:ind w:firstLine="480"/>
        <w:rPr>
          <w:color w:val="000000"/>
        </w:rPr>
      </w:pPr>
      <w:r>
        <w:rPr>
          <w:rFonts w:hint="eastAsia"/>
          <w:color w:val="333333"/>
          <w:shd w:val="clear" w:color="auto" w:fill="FFFFFF"/>
        </w:rPr>
        <w:t>YYCR—2016—00013</w:t>
      </w:r>
    </w:p>
    <w:p w:rsidR="00F9782A" w:rsidRDefault="00F9782A" w:rsidP="005F2A1B">
      <w:pPr>
        <w:pStyle w:val="a3"/>
        <w:shd w:val="clear" w:color="auto" w:fill="FFFFFF"/>
        <w:spacing w:before="0" w:beforeAutospacing="0" w:after="0" w:afterAutospacing="0" w:line="480" w:lineRule="auto"/>
        <w:ind w:firstLine="480"/>
        <w:rPr>
          <w:color w:val="000000"/>
        </w:rPr>
      </w:pPr>
    </w:p>
    <w:p w:rsidR="005F2A1B" w:rsidRDefault="005F2A1B" w:rsidP="005F2A1B">
      <w:pPr>
        <w:pStyle w:val="a3"/>
        <w:shd w:val="clear" w:color="auto" w:fill="FFFFFF"/>
        <w:spacing w:before="0" w:beforeAutospacing="0" w:after="0" w:afterAutospacing="0" w:line="480" w:lineRule="auto"/>
        <w:ind w:firstLine="480"/>
        <w:rPr>
          <w:color w:val="000000"/>
        </w:rPr>
      </w:pPr>
      <w:r>
        <w:rPr>
          <w:rFonts w:hint="eastAsia"/>
          <w:color w:val="000000"/>
        </w:rPr>
        <w:t>各县市区人民政府，岳阳经济技术开发区、城</w:t>
      </w:r>
      <w:proofErr w:type="gramStart"/>
      <w:r>
        <w:rPr>
          <w:rFonts w:hint="eastAsia"/>
          <w:color w:val="000000"/>
        </w:rPr>
        <w:t>陵矶新港区</w:t>
      </w:r>
      <w:proofErr w:type="gramEnd"/>
      <w:r>
        <w:rPr>
          <w:rFonts w:hint="eastAsia"/>
          <w:color w:val="000000"/>
        </w:rPr>
        <w:t>、南湖新区、屈原管理区，市直各单位，中央、</w:t>
      </w:r>
      <w:proofErr w:type="gramStart"/>
      <w:r>
        <w:rPr>
          <w:rFonts w:hint="eastAsia"/>
          <w:color w:val="000000"/>
        </w:rPr>
        <w:t>省属驻岳各单位</w:t>
      </w:r>
      <w:proofErr w:type="gramEnd"/>
      <w:r>
        <w:rPr>
          <w:rFonts w:hint="eastAsia"/>
          <w:color w:val="000000"/>
        </w:rPr>
        <w:t>：</w:t>
      </w:r>
    </w:p>
    <w:p w:rsidR="005F2A1B" w:rsidRDefault="005F2A1B" w:rsidP="005F2A1B">
      <w:pPr>
        <w:pStyle w:val="a3"/>
        <w:shd w:val="clear" w:color="auto" w:fill="FFFFFF"/>
        <w:spacing w:before="0" w:beforeAutospacing="0" w:after="0" w:afterAutospacing="0" w:line="480" w:lineRule="auto"/>
        <w:ind w:firstLine="480"/>
        <w:rPr>
          <w:color w:val="000000"/>
        </w:rPr>
      </w:pPr>
      <w:r>
        <w:rPr>
          <w:rFonts w:hint="eastAsia"/>
          <w:color w:val="000000"/>
        </w:rPr>
        <w:t>为全面落实省委、省政府“创新引领、开放崛起”发展战略，努力开创全方位、多层次、宽领域开放发展的新局面，加速推进“一极三宜”江湖名城建设，现就进一步加快开放型经济发展提出以下意见。</w:t>
      </w:r>
    </w:p>
    <w:p w:rsidR="005F2A1B" w:rsidRDefault="005F2A1B" w:rsidP="005F2A1B">
      <w:pPr>
        <w:pStyle w:val="a3"/>
        <w:shd w:val="clear" w:color="auto" w:fill="FFFFFF"/>
        <w:spacing w:before="0" w:beforeAutospacing="0" w:after="0" w:afterAutospacing="0" w:line="480" w:lineRule="auto"/>
        <w:ind w:firstLine="480"/>
        <w:rPr>
          <w:color w:val="000000"/>
        </w:rPr>
      </w:pPr>
      <w:r>
        <w:rPr>
          <w:rFonts w:hint="eastAsia"/>
          <w:color w:val="000000"/>
        </w:rPr>
        <w:t>一、明确发展目标。大幅提升经济外向度，逐步实现岳阳开放型经济总量在全省排名与岳阳经济总量在全省的排名基本匹配，形成全域开放、内外联动、区域协调、安全高效的开放型经济体系，全力将岳阳打造成中部地区内陆开放的新高地、国际物资聚集的新基地和两型消费的新洼地。到2020年，全市外贸进出口达到50亿美元；实际引进资金达到人民币700亿元，其中内联引资人民币660亿元，实际使用外资6亿美元；新引进世界、国内500</w:t>
      </w:r>
      <w:proofErr w:type="gramStart"/>
      <w:r>
        <w:rPr>
          <w:rFonts w:hint="eastAsia"/>
          <w:color w:val="000000"/>
        </w:rPr>
        <w:t>强项目</w:t>
      </w:r>
      <w:proofErr w:type="gramEnd"/>
      <w:r>
        <w:rPr>
          <w:rFonts w:hint="eastAsia"/>
          <w:color w:val="000000"/>
        </w:rPr>
        <w:t>15个以上；对外投资年均增长10%以上。</w:t>
      </w:r>
    </w:p>
    <w:p w:rsidR="005F2A1B" w:rsidRDefault="005F2A1B" w:rsidP="005F2A1B">
      <w:pPr>
        <w:pStyle w:val="a3"/>
        <w:shd w:val="clear" w:color="auto" w:fill="FFFFFF"/>
        <w:spacing w:before="0" w:beforeAutospacing="0" w:after="0" w:afterAutospacing="0" w:line="480" w:lineRule="auto"/>
        <w:ind w:firstLine="480"/>
        <w:rPr>
          <w:color w:val="000000"/>
        </w:rPr>
      </w:pPr>
      <w:r>
        <w:rPr>
          <w:rFonts w:hint="eastAsia"/>
          <w:color w:val="000000"/>
        </w:rPr>
        <w:t>二、加大招商引资力度。除法律法规规章和国务院明令禁止进入的领域和行业，全部向内外资放开。制定外向型产业招商路线图和专项行动方案，大力</w:t>
      </w:r>
      <w:r>
        <w:rPr>
          <w:rFonts w:hint="eastAsia"/>
          <w:color w:val="000000"/>
        </w:rPr>
        <w:lastRenderedPageBreak/>
        <w:t>承接沿海、沿江产业转移，重点引进一批涉水型、亲水型外向大型企业。对世界、国内500强等战略投资者</w:t>
      </w:r>
      <w:proofErr w:type="gramStart"/>
      <w:r>
        <w:rPr>
          <w:rFonts w:hint="eastAsia"/>
          <w:color w:val="000000"/>
        </w:rPr>
        <w:t>来岳新设立</w:t>
      </w:r>
      <w:proofErr w:type="gramEnd"/>
      <w:r>
        <w:rPr>
          <w:rFonts w:hint="eastAsia"/>
          <w:color w:val="000000"/>
        </w:rPr>
        <w:t>地区总部、研发中心、采购中心等功能性机构的，实行“一事一议”。对本市新引进的年进出口额达到1000万美元及以上的外贸企业，租用标准化厂房适当给予支持。</w:t>
      </w:r>
    </w:p>
    <w:p w:rsidR="005F2A1B" w:rsidRDefault="005F2A1B" w:rsidP="005F2A1B">
      <w:pPr>
        <w:pStyle w:val="a3"/>
        <w:shd w:val="clear" w:color="auto" w:fill="FFFFFF"/>
        <w:spacing w:before="0" w:beforeAutospacing="0" w:after="0" w:afterAutospacing="0" w:line="480" w:lineRule="auto"/>
        <w:ind w:firstLine="480"/>
        <w:rPr>
          <w:color w:val="000000"/>
        </w:rPr>
      </w:pPr>
      <w:r>
        <w:rPr>
          <w:rFonts w:hint="eastAsia"/>
          <w:color w:val="000000"/>
        </w:rPr>
        <w:t>三、提升口岸开放水平。推动城陵</w:t>
      </w:r>
      <w:proofErr w:type="gramStart"/>
      <w:r>
        <w:rPr>
          <w:rFonts w:hint="eastAsia"/>
          <w:color w:val="000000"/>
        </w:rPr>
        <w:t>矶口岸</w:t>
      </w:r>
      <w:proofErr w:type="gramEnd"/>
      <w:r>
        <w:rPr>
          <w:rFonts w:hint="eastAsia"/>
          <w:color w:val="000000"/>
        </w:rPr>
        <w:t>拓展功能和提质升级，加快“铁、公、水、空”立体口岸和集疏运体系建设，探索城陵</w:t>
      </w:r>
      <w:proofErr w:type="gramStart"/>
      <w:r>
        <w:rPr>
          <w:rFonts w:hint="eastAsia"/>
          <w:color w:val="000000"/>
        </w:rPr>
        <w:t>矶口岸</w:t>
      </w:r>
      <w:proofErr w:type="gramEnd"/>
      <w:r>
        <w:rPr>
          <w:rFonts w:hint="eastAsia"/>
          <w:color w:val="000000"/>
        </w:rPr>
        <w:t>与城陵</w:t>
      </w:r>
      <w:proofErr w:type="gramStart"/>
      <w:r>
        <w:rPr>
          <w:rFonts w:hint="eastAsia"/>
          <w:color w:val="000000"/>
        </w:rPr>
        <w:t>矶综合</w:t>
      </w:r>
      <w:proofErr w:type="gramEnd"/>
      <w:r>
        <w:rPr>
          <w:rFonts w:hint="eastAsia"/>
          <w:color w:val="000000"/>
        </w:rPr>
        <w:t>保税区、航空新城融合发展，与长沙联动争创自由贸易试验（港）区。完善各进口指定口岸仓储、加工、分拣、配送等产业</w:t>
      </w:r>
      <w:proofErr w:type="gramStart"/>
      <w:r>
        <w:rPr>
          <w:rFonts w:hint="eastAsia"/>
          <w:color w:val="000000"/>
        </w:rPr>
        <w:t>链配套</w:t>
      </w:r>
      <w:proofErr w:type="gramEnd"/>
      <w:r>
        <w:rPr>
          <w:rFonts w:hint="eastAsia"/>
          <w:color w:val="000000"/>
        </w:rPr>
        <w:t>设施建设。支持城陵</w:t>
      </w:r>
      <w:proofErr w:type="gramStart"/>
      <w:r>
        <w:rPr>
          <w:rFonts w:hint="eastAsia"/>
          <w:color w:val="000000"/>
        </w:rPr>
        <w:t>矶综合</w:t>
      </w:r>
      <w:proofErr w:type="gramEnd"/>
      <w:r>
        <w:rPr>
          <w:rFonts w:hint="eastAsia"/>
          <w:color w:val="000000"/>
        </w:rPr>
        <w:t>保税区开展研发、维修、采购、结算、展示、跨境电商等业务，并将服务功能向其它功能性口岸和园区延伸叠加。支持国际航线班列稳步发展，加快形成人流、物流、信息流快进快出、大进大出能力。</w:t>
      </w:r>
    </w:p>
    <w:p w:rsidR="005F2A1B" w:rsidRDefault="005F2A1B" w:rsidP="005F2A1B">
      <w:pPr>
        <w:pStyle w:val="a3"/>
        <w:shd w:val="clear" w:color="auto" w:fill="FFFFFF"/>
        <w:spacing w:before="0" w:beforeAutospacing="0" w:after="0" w:afterAutospacing="0" w:line="480" w:lineRule="auto"/>
        <w:ind w:firstLine="480"/>
        <w:rPr>
          <w:color w:val="000000"/>
        </w:rPr>
      </w:pPr>
      <w:r>
        <w:rPr>
          <w:rFonts w:hint="eastAsia"/>
          <w:color w:val="000000"/>
        </w:rPr>
        <w:t>四、培育外贸竞争优势。推动县市区、省级及以上园区、外贸企业以及有开拓国际市场意愿的内贸企业实现进出口实绩“破零”或“倍增”，到2020年，力争实现进出口实绩的企业超过400家，进出口</w:t>
      </w:r>
      <w:proofErr w:type="gramStart"/>
      <w:r>
        <w:rPr>
          <w:rFonts w:hint="eastAsia"/>
          <w:color w:val="000000"/>
        </w:rPr>
        <w:t>贸易超</w:t>
      </w:r>
      <w:proofErr w:type="gramEnd"/>
      <w:r>
        <w:rPr>
          <w:rFonts w:hint="eastAsia"/>
          <w:color w:val="000000"/>
        </w:rPr>
        <w:t>5000万美元的生产型企业超过20家。对在本市注册的生产型企业外贸额“破零”的，根据贸易额按10万—50万美元（含50万美元）奖励人民币1万元、50万—100万美元（含100万美元）奖励人民币2万元、100万美元以上奖励人民币3万元。加快外贸综合服务体建设，加强报关、报检、信保、融资、退税、物流、结汇和国际市场开拓等功能，“十三五”期间共建设10个以上</w:t>
      </w:r>
      <w:proofErr w:type="gramStart"/>
      <w:r>
        <w:rPr>
          <w:rFonts w:hint="eastAsia"/>
          <w:color w:val="000000"/>
        </w:rPr>
        <w:t>园区外贸</w:t>
      </w:r>
      <w:proofErr w:type="gramEnd"/>
      <w:r>
        <w:rPr>
          <w:rFonts w:hint="eastAsia"/>
          <w:color w:val="000000"/>
        </w:rPr>
        <w:t>综合服务中心，覆盖市内重点产业园区并向县市区延伸。提升化工造纸、机电装备、生物医药、农产品加工、食品加工等传统优势产业的经济外向度和国际竞争力，引导中小企业向“专、精、特、新”方向发展，鼓励本市企业到国（境）外拓展</w:t>
      </w:r>
      <w:r>
        <w:rPr>
          <w:rFonts w:hint="eastAsia"/>
          <w:color w:val="000000"/>
        </w:rPr>
        <w:lastRenderedPageBreak/>
        <w:t>市场和参加会展。加大进口有关的政策引导，完善进口指定口岸功能，扩大先进技术设备、关键零部件、能源资源和重点消费品进口，到2020年力争进口占比达到40%以上。</w:t>
      </w:r>
    </w:p>
    <w:p w:rsidR="005F2A1B" w:rsidRDefault="005F2A1B" w:rsidP="005F2A1B">
      <w:pPr>
        <w:pStyle w:val="a3"/>
        <w:shd w:val="clear" w:color="auto" w:fill="FFFFFF"/>
        <w:spacing w:before="0" w:beforeAutospacing="0" w:after="0" w:afterAutospacing="0" w:line="480" w:lineRule="auto"/>
        <w:ind w:firstLine="480"/>
        <w:rPr>
          <w:color w:val="000000"/>
        </w:rPr>
      </w:pPr>
      <w:r>
        <w:rPr>
          <w:rFonts w:hint="eastAsia"/>
          <w:color w:val="000000"/>
        </w:rPr>
        <w:t>五、推动园区转型升级。充分发挥各类园区在开放型经济发展中的主要载体作用，增强园区承载能力，促进产业集聚发展。探索市场主体参与的直管、托管、代管和共建等园区运营模式，试行一区多园、“飞地经济”新体制，促进</w:t>
      </w:r>
      <w:proofErr w:type="gramStart"/>
      <w:r>
        <w:rPr>
          <w:rFonts w:hint="eastAsia"/>
          <w:color w:val="000000"/>
        </w:rPr>
        <w:t>产城融合</w:t>
      </w:r>
      <w:proofErr w:type="gramEnd"/>
      <w:r>
        <w:rPr>
          <w:rFonts w:hint="eastAsia"/>
          <w:color w:val="000000"/>
        </w:rPr>
        <w:t>一体化发展。对全市各类园区按实际业绩、经济外向度、投入产出效益、节能减排等指标综合排名，实行动态管理。</w:t>
      </w:r>
    </w:p>
    <w:p w:rsidR="005F2A1B" w:rsidRDefault="005F2A1B" w:rsidP="005F2A1B">
      <w:pPr>
        <w:pStyle w:val="a3"/>
        <w:shd w:val="clear" w:color="auto" w:fill="FFFFFF"/>
        <w:spacing w:before="0" w:beforeAutospacing="0" w:after="0" w:afterAutospacing="0" w:line="480" w:lineRule="auto"/>
        <w:ind w:firstLine="480"/>
        <w:rPr>
          <w:color w:val="000000"/>
        </w:rPr>
      </w:pPr>
      <w:r>
        <w:rPr>
          <w:rFonts w:hint="eastAsia"/>
          <w:color w:val="000000"/>
        </w:rPr>
        <w:t>六、加强区域经济合作。加快融入长江经济带建设。继续深化</w:t>
      </w:r>
      <w:proofErr w:type="gramStart"/>
      <w:r>
        <w:rPr>
          <w:rFonts w:hint="eastAsia"/>
          <w:color w:val="000000"/>
        </w:rPr>
        <w:t>与上港集团</w:t>
      </w:r>
      <w:proofErr w:type="gramEnd"/>
      <w:r>
        <w:rPr>
          <w:rFonts w:hint="eastAsia"/>
          <w:color w:val="000000"/>
        </w:rPr>
        <w:t>合作，加强与各自贸区对接、</w:t>
      </w:r>
      <w:proofErr w:type="gramStart"/>
      <w:r>
        <w:rPr>
          <w:rFonts w:hint="eastAsia"/>
          <w:color w:val="000000"/>
        </w:rPr>
        <w:t>长株潭</w:t>
      </w:r>
      <w:proofErr w:type="gramEnd"/>
      <w:r>
        <w:rPr>
          <w:rFonts w:hint="eastAsia"/>
          <w:color w:val="000000"/>
        </w:rPr>
        <w:t>联动。在产业转移、融合创新、市场开放、平台搭建、信息共享、要素聚集等方面实现与长江沿线城市的互惠共赢。推进湖南岳阳长江航运交易所建设，实现与长江沿线口岸的互联互通。大力支持本市优势企业“走出去”。依托国家和省级境外经贸合作区（园），重点引导本市化工、食品、建筑、医药、装备制造、新材料等具有比较优势的产业和骨干企业抱团“走出去”。鼓励一批产品质量优、技术含量高的本市外贸企业带动劳务、技术、资金和项目“走出去”。支持本市重点工程企业承包国（境）外工程项目并逐步拓展工程咨询、工程设计等经营范围。充分利用对外劳务合作平台，引导有技术特长、有就业需求的劳务人员“走出去”。</w:t>
      </w:r>
    </w:p>
    <w:p w:rsidR="005F2A1B" w:rsidRDefault="005F2A1B" w:rsidP="005F2A1B">
      <w:pPr>
        <w:pStyle w:val="a3"/>
        <w:shd w:val="clear" w:color="auto" w:fill="FFFFFF"/>
        <w:spacing w:before="0" w:beforeAutospacing="0" w:after="0" w:afterAutospacing="0" w:line="480" w:lineRule="auto"/>
        <w:ind w:firstLine="480"/>
        <w:rPr>
          <w:color w:val="000000"/>
        </w:rPr>
      </w:pPr>
      <w:r>
        <w:rPr>
          <w:rFonts w:hint="eastAsia"/>
          <w:color w:val="000000"/>
        </w:rPr>
        <w:t>七、用活项目用地政策。优先保障国家鼓励类外向型投资项目的新增建设用地指标，对用地集约的国家鼓励类外商投资工业项目优先供应土地。新增工业企业项目用地，可将投资和产业主管部门提出的产业类型、产业标准、生产技术、产品品质要求作为“招拍挂”出让的条件。工业地产项目按不超过总用</w:t>
      </w:r>
      <w:r>
        <w:rPr>
          <w:rFonts w:hint="eastAsia"/>
          <w:color w:val="000000"/>
        </w:rPr>
        <w:lastRenderedPageBreak/>
        <w:t>地面积的7%建设工作与生活配套设施，配套设施原则上不出售。对湖南省确定的优先发展产业且用地集约的工业项目，可按不低于所在地等别相对应《全国工业用地出让最低价标准》的70%确定其土地使用权出让底价。</w:t>
      </w:r>
    </w:p>
    <w:p w:rsidR="005F2A1B" w:rsidRDefault="005F2A1B" w:rsidP="005F2A1B">
      <w:pPr>
        <w:pStyle w:val="a3"/>
        <w:shd w:val="clear" w:color="auto" w:fill="FFFFFF"/>
        <w:spacing w:before="0" w:beforeAutospacing="0" w:after="0" w:afterAutospacing="0" w:line="480" w:lineRule="auto"/>
        <w:ind w:firstLine="480"/>
        <w:rPr>
          <w:color w:val="000000"/>
        </w:rPr>
      </w:pPr>
      <w:r>
        <w:rPr>
          <w:rFonts w:hint="eastAsia"/>
          <w:color w:val="000000"/>
        </w:rPr>
        <w:t>八、优化财税金融服务。认真落实启运港退税政策和各项贸易融资政策，进一步改善金融服务。加大财政支持力度，运用好进口信贷以及进口信用保险等促进进口政策，支持本市企业积极参加国（境）外资产和出国人员的保险服务。支持本市企业出口退税质押融资，加大国（境）外参展补贴力度。支持本市企业投保出口信用保险，扩大新兴市场的出口信用保险业务，提高出口信用保险的覆盖面。加大对本市外资企业的信贷支持，开辟重大项目信贷审批“绿色通道”。鼓励本市外向型企业多层次融资，对拟上市的本市外向型企业给予适当的政策辅导和财政支持。</w:t>
      </w:r>
    </w:p>
    <w:p w:rsidR="005F2A1B" w:rsidRDefault="005F2A1B" w:rsidP="005F2A1B">
      <w:pPr>
        <w:pStyle w:val="a3"/>
        <w:shd w:val="clear" w:color="auto" w:fill="FFFFFF"/>
        <w:spacing w:before="0" w:beforeAutospacing="0" w:after="0" w:afterAutospacing="0" w:line="480" w:lineRule="auto"/>
        <w:ind w:firstLine="480"/>
        <w:rPr>
          <w:color w:val="000000"/>
        </w:rPr>
      </w:pPr>
      <w:r>
        <w:rPr>
          <w:rFonts w:hint="eastAsia"/>
          <w:color w:val="000000"/>
        </w:rPr>
        <w:t>九、完善人才支撑体系。组织市直有关部门单位、各县市区负责人以及从事开放型经济的工作人员赴国（境）外和沿海发达地区培训，开展专项考察和精准招商活动，采取政府购买服务的方式，吸纳相关研究机构、院所高校的专家、学者，成立</w:t>
      </w:r>
      <w:proofErr w:type="gramStart"/>
      <w:r>
        <w:rPr>
          <w:rFonts w:hint="eastAsia"/>
          <w:color w:val="000000"/>
        </w:rPr>
        <w:t>“开放崛起”智库中心</w:t>
      </w:r>
      <w:proofErr w:type="gramEnd"/>
      <w:r>
        <w:rPr>
          <w:rFonts w:hint="eastAsia"/>
          <w:color w:val="000000"/>
        </w:rPr>
        <w:t>。依托“巴陵人才工程”，公开招聘和引进一批复合型跨国经营管理人才。支持我市外向型企业与高校、行业协会合作培养、培训所需专业人才。</w:t>
      </w:r>
    </w:p>
    <w:p w:rsidR="005F2A1B" w:rsidRDefault="005F2A1B" w:rsidP="005F2A1B">
      <w:pPr>
        <w:pStyle w:val="a3"/>
        <w:shd w:val="clear" w:color="auto" w:fill="FFFFFF"/>
        <w:spacing w:before="0" w:beforeAutospacing="0" w:after="0" w:afterAutospacing="0" w:line="480" w:lineRule="auto"/>
        <w:ind w:firstLine="480"/>
        <w:rPr>
          <w:color w:val="000000"/>
        </w:rPr>
      </w:pPr>
      <w:r>
        <w:rPr>
          <w:rFonts w:hint="eastAsia"/>
          <w:color w:val="000000"/>
        </w:rPr>
        <w:t>十、促进投资贸易便利。加快转变政府职能、优化投资环境，逐步建立权力清单、责任清单、负面清单管理新模式。积极对接湖南省国际贸易“单一窗口”</w:t>
      </w:r>
      <w:proofErr w:type="gramStart"/>
      <w:r>
        <w:rPr>
          <w:rFonts w:hint="eastAsia"/>
          <w:color w:val="000000"/>
        </w:rPr>
        <w:t>云服务</w:t>
      </w:r>
      <w:proofErr w:type="gramEnd"/>
      <w:r>
        <w:rPr>
          <w:rFonts w:hint="eastAsia"/>
          <w:color w:val="000000"/>
        </w:rPr>
        <w:t>平台，开发符合我市工作需要的管理应用系统。深化“一次申报、一次查验、一次放行”</w:t>
      </w:r>
      <w:proofErr w:type="gramStart"/>
      <w:r>
        <w:rPr>
          <w:rFonts w:hint="eastAsia"/>
          <w:color w:val="000000"/>
        </w:rPr>
        <w:t>关检合作</w:t>
      </w:r>
      <w:proofErr w:type="gramEnd"/>
      <w:r>
        <w:rPr>
          <w:rFonts w:hint="eastAsia"/>
          <w:color w:val="000000"/>
        </w:rPr>
        <w:t>，推进口岸管理相关部门的信息互换、监管互认、执法互助。依法清理规范进出口环节的经营性服务和收费事项，建立完善</w:t>
      </w:r>
      <w:r>
        <w:rPr>
          <w:rFonts w:hint="eastAsia"/>
          <w:color w:val="000000"/>
        </w:rPr>
        <w:lastRenderedPageBreak/>
        <w:t>进出口环节的收费项目清单制度。加快</w:t>
      </w:r>
      <w:proofErr w:type="gramStart"/>
      <w:r>
        <w:rPr>
          <w:rFonts w:hint="eastAsia"/>
          <w:color w:val="000000"/>
        </w:rPr>
        <w:t>推广自</w:t>
      </w:r>
      <w:proofErr w:type="gramEnd"/>
      <w:r>
        <w:rPr>
          <w:rFonts w:hint="eastAsia"/>
          <w:color w:val="000000"/>
        </w:rPr>
        <w:t>贸区可复制改革试点经验，以制度创新为核心，对接国际规则与通行做法，进一步在投资、贸易、金融创新、政府监管、区域合作等领域先行先试。</w:t>
      </w:r>
    </w:p>
    <w:p w:rsidR="005F2A1B" w:rsidRDefault="005F2A1B" w:rsidP="005F2A1B">
      <w:pPr>
        <w:pStyle w:val="a3"/>
        <w:shd w:val="clear" w:color="auto" w:fill="FFFFFF"/>
        <w:spacing w:before="0" w:beforeAutospacing="0" w:after="0" w:afterAutospacing="0" w:line="480" w:lineRule="auto"/>
        <w:ind w:firstLine="480"/>
        <w:rPr>
          <w:color w:val="000000"/>
        </w:rPr>
      </w:pPr>
      <w:r>
        <w:rPr>
          <w:rFonts w:hint="eastAsia"/>
          <w:color w:val="000000"/>
        </w:rPr>
        <w:t>为了进一步推进开放型经济的发展，将对县市区政府（管委会）绩效考核的开放型经济主要指标权重提高至15%左右，加强对开放型经济服务单位的考核，督促提高服务开放的效率与水平。建立健全约束机制，实行市级领导约谈制度，对执行本《意见》不到位的县市区及市直部门单位负责人，按照本市有关规定</w:t>
      </w:r>
      <w:proofErr w:type="gramStart"/>
      <w:r>
        <w:rPr>
          <w:rFonts w:hint="eastAsia"/>
          <w:color w:val="000000"/>
        </w:rPr>
        <w:t>予以问</w:t>
      </w:r>
      <w:proofErr w:type="gramEnd"/>
      <w:r>
        <w:rPr>
          <w:rFonts w:hint="eastAsia"/>
          <w:color w:val="000000"/>
        </w:rPr>
        <w:t>责。</w:t>
      </w:r>
    </w:p>
    <w:p w:rsidR="005F2A1B" w:rsidRDefault="005F2A1B" w:rsidP="005F2A1B">
      <w:pPr>
        <w:pStyle w:val="a3"/>
        <w:shd w:val="clear" w:color="auto" w:fill="FFFFFF"/>
        <w:spacing w:before="0" w:beforeAutospacing="0" w:after="0" w:afterAutospacing="0" w:line="480" w:lineRule="auto"/>
        <w:ind w:firstLine="480"/>
        <w:rPr>
          <w:color w:val="000000"/>
        </w:rPr>
      </w:pPr>
      <w:r>
        <w:rPr>
          <w:rFonts w:hint="eastAsia"/>
          <w:color w:val="000000"/>
        </w:rPr>
        <w:t>本《意见》所需奖励（补贴）资金，按现行财政管理体制筹集，市本级奖励补贴资金在开放型经济发展专项资金中列支。本《意见》若与本市其他有关政策重叠，按照</w:t>
      </w:r>
      <w:proofErr w:type="gramStart"/>
      <w:r>
        <w:rPr>
          <w:rFonts w:hint="eastAsia"/>
          <w:color w:val="000000"/>
        </w:rPr>
        <w:t>从优但</w:t>
      </w:r>
      <w:proofErr w:type="gramEnd"/>
      <w:r>
        <w:rPr>
          <w:rFonts w:hint="eastAsia"/>
          <w:color w:val="000000"/>
        </w:rPr>
        <w:t>不重复适用的原则执行。各县市可参照执行。</w:t>
      </w:r>
    </w:p>
    <w:p w:rsidR="005F2A1B" w:rsidRDefault="005F2A1B" w:rsidP="005F2A1B">
      <w:pPr>
        <w:pStyle w:val="a3"/>
        <w:shd w:val="clear" w:color="auto" w:fill="FFFFFF"/>
        <w:spacing w:before="0" w:beforeAutospacing="0" w:after="0" w:afterAutospacing="0" w:line="480" w:lineRule="auto"/>
        <w:ind w:firstLine="480"/>
        <w:rPr>
          <w:color w:val="000000"/>
        </w:rPr>
      </w:pPr>
      <w:r>
        <w:rPr>
          <w:rFonts w:hint="eastAsia"/>
          <w:color w:val="000000"/>
        </w:rPr>
        <w:t>本《意见》自2017年1月1日起施行。</w:t>
      </w:r>
    </w:p>
    <w:p w:rsidR="005F2A1B" w:rsidRDefault="005F2A1B" w:rsidP="005F2A1B">
      <w:pPr>
        <w:pStyle w:val="a3"/>
        <w:shd w:val="clear" w:color="auto" w:fill="FFFFFF"/>
        <w:spacing w:before="0" w:beforeAutospacing="0" w:after="0" w:afterAutospacing="0" w:line="480" w:lineRule="auto"/>
        <w:ind w:firstLine="480"/>
        <w:jc w:val="right"/>
        <w:rPr>
          <w:color w:val="000000"/>
        </w:rPr>
      </w:pPr>
      <w:r>
        <w:rPr>
          <w:rFonts w:hint="eastAsia"/>
          <w:color w:val="000000"/>
        </w:rPr>
        <w:t>岳阳市人民政府</w:t>
      </w:r>
    </w:p>
    <w:p w:rsidR="005F2A1B" w:rsidRDefault="005F2A1B" w:rsidP="005F2A1B">
      <w:pPr>
        <w:pStyle w:val="a3"/>
        <w:shd w:val="clear" w:color="auto" w:fill="FFFFFF"/>
        <w:spacing w:before="0" w:beforeAutospacing="0" w:after="0" w:afterAutospacing="0" w:line="480" w:lineRule="auto"/>
        <w:ind w:firstLine="480"/>
        <w:jc w:val="right"/>
        <w:rPr>
          <w:color w:val="000000"/>
        </w:rPr>
      </w:pPr>
      <w:r>
        <w:rPr>
          <w:rFonts w:hint="eastAsia"/>
          <w:color w:val="000000"/>
        </w:rPr>
        <w:t>2016年12月8日</w:t>
      </w:r>
    </w:p>
    <w:p w:rsidR="00CC51C8" w:rsidRDefault="00CC51C8"/>
    <w:sectPr w:rsidR="00CC51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F1F"/>
    <w:rsid w:val="005F2A1B"/>
    <w:rsid w:val="00CC51C8"/>
    <w:rsid w:val="00E72F1F"/>
    <w:rsid w:val="00F978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AD6C9E-5256-40E0-B4B7-9C59D1862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F9782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F2A1B"/>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F9782A"/>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862619">
      <w:bodyDiv w:val="1"/>
      <w:marLeft w:val="0"/>
      <w:marRight w:val="0"/>
      <w:marTop w:val="0"/>
      <w:marBottom w:val="0"/>
      <w:divBdr>
        <w:top w:val="none" w:sz="0" w:space="0" w:color="auto"/>
        <w:left w:val="none" w:sz="0" w:space="0" w:color="auto"/>
        <w:bottom w:val="none" w:sz="0" w:space="0" w:color="auto"/>
        <w:right w:val="none" w:sz="0" w:space="0" w:color="auto"/>
      </w:divBdr>
    </w:div>
    <w:div w:id="1298074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471</Words>
  <Characters>2686</Characters>
  <Application>Microsoft Office Word</Application>
  <DocSecurity>0</DocSecurity>
  <Lines>22</Lines>
  <Paragraphs>6</Paragraphs>
  <ScaleCrop>false</ScaleCrop>
  <Company/>
  <LinksUpToDate>false</LinksUpToDate>
  <CharactersWithSpaces>3151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Wen, Yidan (Student)</cp:lastModifiedBy>
  <cp:revision>5</cp:revision>
  <dcterms:created xsi:type="dcterms:W3CDTF">2018-05-18T08:08:00Z</dcterms:created>
  <dcterms:modified xsi:type="dcterms:W3CDTF">2018-09-12T08:27:00Z</dcterms:modified>
</cp:coreProperties>
</file>