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B7A" w:rsidRDefault="00422B7A" w:rsidP="00422B7A">
      <w:pPr>
        <w:pStyle w:val="a3"/>
        <w:shd w:val="clear" w:color="auto" w:fill="FFFFFF"/>
        <w:spacing w:before="0" w:beforeAutospacing="0" w:after="0" w:afterAutospacing="0"/>
        <w:rPr>
          <w:rFonts w:ascii="微软雅黑" w:eastAsia="微软雅黑" w:hAnsi="微软雅黑"/>
          <w:color w:val="696969"/>
          <w:sz w:val="21"/>
          <w:szCs w:val="21"/>
        </w:rPr>
      </w:pPr>
      <w:r>
        <w:rPr>
          <w:rFonts w:ascii="微软雅黑" w:eastAsia="微软雅黑" w:hAnsi="微软雅黑" w:hint="eastAsia"/>
          <w:color w:val="696969"/>
          <w:sz w:val="21"/>
          <w:szCs w:val="21"/>
        </w:rPr>
        <w:t xml:space="preserve">　为加快贵阳国际金融中心建设，促进金融企业聚集，推动贵州金融产业更好更快发展，打造贵州“引银入黔”的重要载体，结合金阳新区实际，特制定如下优惠政策：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一、办公物业优惠政策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金融监管机构在贵阳国际金融中心购买办公物业，可享受以下办公物业优惠政策: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销售价格优惠：其购房价格按建设成本加上销售税金后上浮10%计算(含2%的管理费及8%的利润)。其中建设成本由建设单位提供建设成本组成的相关资料，并由建设单位与金阳新区管委会共同委托有资质的中介机构审定认可。</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土地成本优惠：根据金融监管机构的行政事业性质，其购买贵阳国际金融中心办公物业价格中的土地成本部分可按金阳新区现行的划拨成本计算。划拨成本与土地实际出让成本之间的差额，由金阳新区管委会全额补贴给金融监管机构。</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二、配套住宅优惠政策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凡入驻贵阳国际金融中心的金融监管机构和金融企业(准金融企业)的员工，可享受以下配套住宅优惠政策：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(一)优先购买权：即享有优先、优惠购买贵阳国际金融中心配套生活区住宅的权利。</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(二)等额配比购房优惠：根据单位在贵阳国际金融中心购置的办公物业建筑面积，其员工可按最优惠价格购买同等建筑面积的贵阳国际金融中心配套生活区住宅。</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配套住宅价格优惠：在贵阳国际金融中心配套生活区购买住宅的员工，可在第(二)条规定的购房优惠配额内享受最低价格优惠，即按不超过3550元/m2的均价购买具备供暖系统的配套住宅，或以不超过3300元/m2的均价购买不供暖的配套住宅。</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三、财税优惠政策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lastRenderedPageBreak/>
        <w:t xml:space="preserve">　　(一)企业税收奖励：入驻贵阳国际金融中心的金融企业(准金融企业)，自开业年度起，前三年按项目当年入库营业税及所得税地方留存部分全额予以奖励，第四年至第五年按项目当年入库营业税及所得税地方留存部分的50%予以奖励。</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(二)个人税收奖励：入驻贵阳国际金融中心的金融监管机构和金融企业(准金融企业)的员工，如在金阳新区直接缴纳个人所得税，可连续五年按当年所缴纳个人所得税地方留存部分全额予以奖励。</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四、教育配套优惠政策</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入驻贵阳国际金融中心的金融监管机构及金融企业(准金融企业)的员工子女，可在贵阳国际金融中心配套中小学、幼儿园入学。</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五、适用范围及对象</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本政策所指的金融监管机构是指根据法律规定监督管理金融市场，发布有关金融监督管理和业务的命令或规章，监督管理金融机构的合法合规运作的机构，包括中国人民银行贵州省分行、银监局、证监局、保监局、贵州省金融办、贵阳市金融办等有关机构。</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(二)本政策所指的金融企业(准金融企业)的具体范围、性质或类别由金阳新区管委会会同有关主管部门，结合相关行业规范认定。</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六、其他规定</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(一)本政策在运行期间，如遇国家重大政策调整，根据有关政策对本政策作相应调整。</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(二)本政策由金阳新区管理委员会负责解释，有关兑现工作，由金阳新区政策扶持兑现办公室负责办理。</w:t>
      </w:r>
    </w:p>
    <w:p w:rsidR="00422B7A" w:rsidRDefault="00422B7A" w:rsidP="00422B7A">
      <w:pPr>
        <w:pStyle w:val="a3"/>
        <w:shd w:val="clear" w:color="auto" w:fill="FFFFFF"/>
        <w:spacing w:before="0" w:beforeAutospacing="0" w:after="0" w:afterAutospacing="0"/>
        <w:rPr>
          <w:rFonts w:ascii="微软雅黑" w:eastAsia="微软雅黑" w:hAnsi="微软雅黑" w:hint="eastAsia"/>
          <w:color w:val="696969"/>
          <w:sz w:val="21"/>
          <w:szCs w:val="21"/>
        </w:rPr>
      </w:pPr>
      <w:r>
        <w:rPr>
          <w:rFonts w:ascii="微软雅黑" w:eastAsia="微软雅黑" w:hAnsi="微软雅黑" w:hint="eastAsia"/>
          <w:color w:val="696969"/>
          <w:sz w:val="21"/>
          <w:szCs w:val="21"/>
        </w:rPr>
        <w:t xml:space="preserve">　　(三)本政策自颁布之日起施行。</w:t>
      </w:r>
    </w:p>
    <w:p w:rsidR="00DF5768" w:rsidRDefault="00DF5768">
      <w:pPr>
        <w:rPr>
          <w:rFonts w:hint="eastAsia"/>
        </w:rPr>
      </w:pPr>
      <w:bookmarkStart w:id="0" w:name="_GoBack"/>
      <w:bookmarkEnd w:id="0"/>
    </w:p>
    <w:sectPr w:rsidR="00DF5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EB"/>
    <w:rsid w:val="002477EB"/>
    <w:rsid w:val="00422B7A"/>
    <w:rsid w:val="00DF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FC781-DB75-4165-A4D3-BEBB3264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22B7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48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Hou Dean</cp:lastModifiedBy>
  <cp:revision>3</cp:revision>
  <dcterms:created xsi:type="dcterms:W3CDTF">2018-05-14T06:09:00Z</dcterms:created>
  <dcterms:modified xsi:type="dcterms:W3CDTF">2018-05-14T06:09:00Z</dcterms:modified>
</cp:coreProperties>
</file>