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305" w:rsidRPr="00BB0305" w:rsidRDefault="00BB0305" w:rsidP="00BB0305">
      <w:pPr>
        <w:widowControl/>
        <w:spacing w:before="100" w:beforeAutospacing="1" w:after="100" w:afterAutospacing="1" w:line="450" w:lineRule="atLeast"/>
        <w:jc w:val="center"/>
        <w:outlineLvl w:val="1"/>
        <w:rPr>
          <w:rFonts w:ascii="微软雅黑" w:eastAsia="微软雅黑" w:hAnsi="微软雅黑" w:cs="宋体"/>
          <w:color w:val="C80B0B"/>
          <w:kern w:val="0"/>
          <w:sz w:val="42"/>
          <w:szCs w:val="42"/>
        </w:rPr>
      </w:pPr>
      <w:bookmarkStart w:id="0" w:name="_GoBack"/>
      <w:r w:rsidRPr="00BB0305">
        <w:rPr>
          <w:rFonts w:ascii="微软雅黑" w:eastAsia="微软雅黑" w:hAnsi="微软雅黑" w:cs="宋体" w:hint="eastAsia"/>
          <w:color w:val="C80B0B"/>
          <w:kern w:val="0"/>
          <w:sz w:val="42"/>
          <w:szCs w:val="42"/>
        </w:rPr>
        <w:t>新余市人民政府关于进一步支持建筑业发展的意见</w:t>
      </w:r>
    </w:p>
    <w:bookmarkEnd w:id="0"/>
    <w:p w:rsidR="00BB0305" w:rsidRPr="00BB0305" w:rsidRDefault="00BB0305" w:rsidP="00BB0305">
      <w:pPr>
        <w:widowControl/>
        <w:spacing w:line="540" w:lineRule="atLeast"/>
        <w:jc w:val="center"/>
        <w:rPr>
          <w:rFonts w:ascii="微软雅黑" w:eastAsia="微软雅黑" w:hAnsi="微软雅黑" w:cs="宋体" w:hint="eastAsia"/>
          <w:color w:val="888888"/>
          <w:kern w:val="0"/>
          <w:szCs w:val="21"/>
        </w:rPr>
      </w:pPr>
      <w:r w:rsidRPr="00BB0305">
        <w:rPr>
          <w:rFonts w:ascii="微软雅黑" w:eastAsia="微软雅黑" w:hAnsi="微软雅黑" w:cs="宋体" w:hint="eastAsia"/>
          <w:color w:val="888888"/>
          <w:kern w:val="0"/>
          <w:szCs w:val="21"/>
        </w:rPr>
        <w:t>【字体：</w:t>
      </w:r>
      <w:hyperlink r:id="rId4" w:history="1">
        <w:r w:rsidRPr="00BB0305">
          <w:rPr>
            <w:rFonts w:ascii="微软雅黑" w:eastAsia="微软雅黑" w:hAnsi="微软雅黑" w:cs="宋体" w:hint="eastAsia"/>
            <w:color w:val="333333"/>
            <w:kern w:val="0"/>
            <w:szCs w:val="21"/>
          </w:rPr>
          <w:t>小</w:t>
        </w:r>
      </w:hyperlink>
      <w:r w:rsidRPr="00BB0305">
        <w:rPr>
          <w:rFonts w:ascii="微软雅黑" w:eastAsia="微软雅黑" w:hAnsi="微软雅黑" w:cs="宋体" w:hint="eastAsia"/>
          <w:color w:val="888888"/>
          <w:kern w:val="0"/>
          <w:szCs w:val="21"/>
        </w:rPr>
        <w:t xml:space="preserve"> </w:t>
      </w:r>
      <w:hyperlink r:id="rId5" w:history="1">
        <w:r w:rsidRPr="00BB0305">
          <w:rPr>
            <w:rFonts w:ascii="微软雅黑" w:eastAsia="微软雅黑" w:hAnsi="微软雅黑" w:cs="宋体" w:hint="eastAsia"/>
            <w:color w:val="333333"/>
            <w:kern w:val="0"/>
            <w:szCs w:val="21"/>
          </w:rPr>
          <w:t>中</w:t>
        </w:r>
      </w:hyperlink>
      <w:r w:rsidRPr="00BB0305">
        <w:rPr>
          <w:rFonts w:ascii="微软雅黑" w:eastAsia="微软雅黑" w:hAnsi="微软雅黑" w:cs="宋体" w:hint="eastAsia"/>
          <w:color w:val="888888"/>
          <w:kern w:val="0"/>
          <w:szCs w:val="21"/>
        </w:rPr>
        <w:t xml:space="preserve"> </w:t>
      </w:r>
      <w:hyperlink r:id="rId6" w:history="1">
        <w:r w:rsidRPr="00BB0305">
          <w:rPr>
            <w:rFonts w:ascii="微软雅黑" w:eastAsia="微软雅黑" w:hAnsi="微软雅黑" w:cs="宋体" w:hint="eastAsia"/>
            <w:color w:val="333333"/>
            <w:kern w:val="0"/>
            <w:szCs w:val="21"/>
          </w:rPr>
          <w:t>大</w:t>
        </w:r>
      </w:hyperlink>
      <w:r w:rsidRPr="00BB0305">
        <w:rPr>
          <w:rFonts w:ascii="微软雅黑" w:eastAsia="微软雅黑" w:hAnsi="微软雅黑" w:cs="宋体" w:hint="eastAsia"/>
          <w:color w:val="888888"/>
          <w:kern w:val="0"/>
          <w:szCs w:val="21"/>
        </w:rPr>
        <w:t xml:space="preserve"> 】　　【发布日期：2017-07-25 10:38】　　【来源：】　　【发布人：李勇】</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各县(区)人民政府、管委会,市政府各部门,市直各单位:</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为进一步推动我市建筑业持续健康发展,顺利完成“十三五”规划目标,根据《国务院办公厅关于促进建筑业持续健康发展的意见》(国办发〔2017〕19号)、《住房城乡建设部关于推进建筑业发展和改革的若干意见》(建市〔2014〕92号)和《江西省人民政府关于加快建筑产业发展的若干意见》(赣府发〔2012〕32号)精神,结合我市实际,现就进一步支持我市建筑业发展提出如下意见。</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一、指导思想</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i/>
          <w:iCs/>
          <w:color w:val="000000"/>
          <w:kern w:val="0"/>
          <w:szCs w:val="21"/>
          <w:bdr w:val="none" w:sz="0" w:space="0" w:color="auto" w:frame="1"/>
        </w:rPr>
        <w:t>坚持以科学发展观为指导,深化建筑业“放管服”改革,加快建筑业产业升级,大力推进科技进步和技术创新,大力推广智能和装配式建筑,更加突出建筑经济发展质量,改进经营管理方式,提高产业集中度,把建筑业打造成为技术先进的现代产业、节能减排的绿色产业和带动力强的支柱产业,打造“新余建造”品牌。</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二、目标任务</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lastRenderedPageBreak/>
        <w:t>到“十三五”末,实现建筑业年产值200亿元以上。特级企业1家,一级企业25家(其中:一级总承包企业20家)以上、二级总承包企业100家以上,从业人员15万以上,纳入统计入库企业120家。</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三、政策措施</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b/>
          <w:bCs/>
          <w:color w:val="000000"/>
          <w:kern w:val="0"/>
          <w:szCs w:val="21"/>
          <w:bdr w:val="none" w:sz="0" w:space="0" w:color="auto" w:frame="1"/>
        </w:rPr>
        <w:t>(</w:t>
      </w:r>
      <w:proofErr w:type="gramStart"/>
      <w:r w:rsidRPr="00BB0305">
        <w:rPr>
          <w:rFonts w:ascii="微软雅黑" w:eastAsia="微软雅黑" w:hAnsi="微软雅黑" w:cs="宋体" w:hint="eastAsia"/>
          <w:b/>
          <w:bCs/>
          <w:color w:val="000000"/>
          <w:kern w:val="0"/>
          <w:szCs w:val="21"/>
          <w:bdr w:val="none" w:sz="0" w:space="0" w:color="auto" w:frame="1"/>
        </w:rPr>
        <w:t>一</w:t>
      </w:r>
      <w:proofErr w:type="gramEnd"/>
      <w:r w:rsidRPr="00BB0305">
        <w:rPr>
          <w:rFonts w:ascii="微软雅黑" w:eastAsia="微软雅黑" w:hAnsi="微软雅黑" w:cs="宋体" w:hint="eastAsia"/>
          <w:b/>
          <w:bCs/>
          <w:color w:val="000000"/>
          <w:kern w:val="0"/>
          <w:szCs w:val="21"/>
          <w:bdr w:val="none" w:sz="0" w:space="0" w:color="auto" w:frame="1"/>
        </w:rPr>
        <w:t>)鼓励企业资质升级。</w:t>
      </w:r>
      <w:r w:rsidRPr="00BB0305">
        <w:rPr>
          <w:rFonts w:ascii="微软雅黑" w:eastAsia="微软雅黑" w:hAnsi="微软雅黑" w:cs="宋体" w:hint="eastAsia"/>
          <w:color w:val="000000"/>
          <w:kern w:val="0"/>
          <w:szCs w:val="21"/>
          <w:bdr w:val="none" w:sz="0" w:space="0" w:color="auto" w:frame="1"/>
        </w:rPr>
        <w:t>对本市建筑企业晋升资质等级的给予一次性奖励,企业资质晋升为特级的奖励200万元,晋升为总承包一级的奖励50万元,晋升为专业承包一级的奖励20万元,晋升为总承包二级的奖励10万元;晋升为专业承包二级的奖励</w:t>
      </w:r>
      <w:r w:rsidRPr="00BB0305">
        <w:rPr>
          <w:rFonts w:ascii="微软雅黑" w:eastAsia="微软雅黑" w:hAnsi="微软雅黑" w:cs="宋体" w:hint="eastAsia"/>
          <w:b/>
          <w:bCs/>
          <w:color w:val="000000"/>
          <w:kern w:val="0"/>
          <w:szCs w:val="21"/>
          <w:bdr w:val="none" w:sz="0" w:space="0" w:color="auto" w:frame="1"/>
        </w:rPr>
        <w:t>5</w:t>
      </w:r>
      <w:r w:rsidRPr="00BB0305">
        <w:rPr>
          <w:rFonts w:ascii="微软雅黑" w:eastAsia="微软雅黑" w:hAnsi="微软雅黑" w:cs="宋体" w:hint="eastAsia"/>
          <w:color w:val="000000"/>
          <w:kern w:val="0"/>
          <w:szCs w:val="21"/>
          <w:bdr w:val="none" w:sz="0" w:space="0" w:color="auto" w:frame="1"/>
        </w:rPr>
        <w:t>万元,同</w:t>
      </w:r>
      <w:proofErr w:type="gramStart"/>
      <w:r w:rsidRPr="00BB0305">
        <w:rPr>
          <w:rFonts w:ascii="微软雅黑" w:eastAsia="微软雅黑" w:hAnsi="微软雅黑" w:cs="宋体" w:hint="eastAsia"/>
          <w:color w:val="000000"/>
          <w:kern w:val="0"/>
          <w:szCs w:val="21"/>
          <w:bdr w:val="none" w:sz="0" w:space="0" w:color="auto" w:frame="1"/>
        </w:rPr>
        <w:t>一</w:t>
      </w:r>
      <w:proofErr w:type="gramEnd"/>
      <w:r w:rsidRPr="00BB0305">
        <w:rPr>
          <w:rFonts w:ascii="微软雅黑" w:eastAsia="微软雅黑" w:hAnsi="微软雅黑" w:cs="宋体" w:hint="eastAsia"/>
          <w:color w:val="000000"/>
          <w:kern w:val="0"/>
          <w:szCs w:val="21"/>
          <w:bdr w:val="none" w:sz="0" w:space="0" w:color="auto" w:frame="1"/>
        </w:rPr>
        <w:t>年度内有多项资质晋升的不重复奖励,可按照最高</w:t>
      </w:r>
      <w:proofErr w:type="gramStart"/>
      <w:r w:rsidRPr="00BB0305">
        <w:rPr>
          <w:rFonts w:ascii="微软雅黑" w:eastAsia="微软雅黑" w:hAnsi="微软雅黑" w:cs="宋体" w:hint="eastAsia"/>
          <w:color w:val="000000"/>
          <w:kern w:val="0"/>
          <w:szCs w:val="21"/>
          <w:bdr w:val="none" w:sz="0" w:space="0" w:color="auto" w:frame="1"/>
        </w:rPr>
        <w:t>项予以</w:t>
      </w:r>
      <w:proofErr w:type="gramEnd"/>
      <w:r w:rsidRPr="00BB0305">
        <w:rPr>
          <w:rFonts w:ascii="微软雅黑" w:eastAsia="微软雅黑" w:hAnsi="微软雅黑" w:cs="宋体" w:hint="eastAsia"/>
          <w:color w:val="000000"/>
          <w:kern w:val="0"/>
          <w:szCs w:val="21"/>
          <w:bdr w:val="none" w:sz="0" w:space="0" w:color="auto" w:frame="1"/>
        </w:rPr>
        <w:t>奖励;同一企业不同年份资质增项、增项资质升级不奖励。</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b/>
          <w:bCs/>
          <w:color w:val="000000"/>
          <w:kern w:val="0"/>
          <w:szCs w:val="21"/>
          <w:bdr w:val="none" w:sz="0" w:space="0" w:color="auto" w:frame="1"/>
        </w:rPr>
        <w:t>(二)鼓励企业引进人才。</w:t>
      </w:r>
      <w:r w:rsidRPr="00BB0305">
        <w:rPr>
          <w:rFonts w:ascii="微软雅黑" w:eastAsia="微软雅黑" w:hAnsi="微软雅黑" w:cs="宋体" w:hint="eastAsia"/>
          <w:color w:val="000000"/>
          <w:kern w:val="0"/>
          <w:szCs w:val="21"/>
          <w:bdr w:val="none" w:sz="0" w:space="0" w:color="auto" w:frame="1"/>
        </w:rPr>
        <w:t>对前三年均不在本市建筑企业注册的一级建造师,现调入我市建筑企业的一级建造</w:t>
      </w:r>
      <w:proofErr w:type="gramStart"/>
      <w:r w:rsidRPr="00BB0305">
        <w:rPr>
          <w:rFonts w:ascii="微软雅黑" w:eastAsia="微软雅黑" w:hAnsi="微软雅黑" w:cs="宋体" w:hint="eastAsia"/>
          <w:color w:val="000000"/>
          <w:kern w:val="0"/>
          <w:szCs w:val="21"/>
          <w:bdr w:val="none" w:sz="0" w:space="0" w:color="auto" w:frame="1"/>
        </w:rPr>
        <w:t>师享受</w:t>
      </w:r>
      <w:proofErr w:type="gramEnd"/>
      <w:r w:rsidRPr="00BB0305">
        <w:rPr>
          <w:rFonts w:ascii="微软雅黑" w:eastAsia="微软雅黑" w:hAnsi="微软雅黑" w:cs="宋体" w:hint="eastAsia"/>
          <w:color w:val="000000"/>
          <w:kern w:val="0"/>
          <w:szCs w:val="21"/>
          <w:bdr w:val="none" w:sz="0" w:space="0" w:color="auto" w:frame="1"/>
        </w:rPr>
        <w:t>急需紧缺人才待遇(新余市引进培养高层次人才规定)。</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b/>
          <w:bCs/>
          <w:color w:val="000000"/>
          <w:kern w:val="0"/>
          <w:szCs w:val="21"/>
          <w:bdr w:val="none" w:sz="0" w:space="0" w:color="auto" w:frame="1"/>
        </w:rPr>
        <w:t>(三)鼓励企业创先争优。</w:t>
      </w:r>
      <w:r w:rsidRPr="00BB0305">
        <w:rPr>
          <w:rFonts w:ascii="微软雅黑" w:eastAsia="微软雅黑" w:hAnsi="微软雅黑" w:cs="宋体" w:hint="eastAsia"/>
          <w:color w:val="000000"/>
          <w:kern w:val="0"/>
          <w:szCs w:val="21"/>
          <w:bdr w:val="none" w:sz="0" w:space="0" w:color="auto" w:frame="1"/>
        </w:rPr>
        <w:t>对当年获得“鲁班奖”的,奖励50万元;对当年创国家优质工程金奖的奖励5万元,创国家优质银奖的,奖励3万元。对当年创杜鹃花奖等省级命名的最高奖的、</w:t>
      </w:r>
      <w:proofErr w:type="gramStart"/>
      <w:r w:rsidRPr="00BB0305">
        <w:rPr>
          <w:rFonts w:ascii="微软雅黑" w:eastAsia="微软雅黑" w:hAnsi="微软雅黑" w:cs="宋体" w:hint="eastAsia"/>
          <w:color w:val="000000"/>
          <w:kern w:val="0"/>
          <w:szCs w:val="21"/>
          <w:bdr w:val="none" w:sz="0" w:space="0" w:color="auto" w:frame="1"/>
        </w:rPr>
        <w:t>省安全</w:t>
      </w:r>
      <w:proofErr w:type="gramEnd"/>
      <w:r w:rsidRPr="00BB0305">
        <w:rPr>
          <w:rFonts w:ascii="微软雅黑" w:eastAsia="微软雅黑" w:hAnsi="微软雅黑" w:cs="宋体" w:hint="eastAsia"/>
          <w:color w:val="000000"/>
          <w:kern w:val="0"/>
          <w:szCs w:val="21"/>
          <w:bdr w:val="none" w:sz="0" w:space="0" w:color="auto" w:frame="1"/>
        </w:rPr>
        <w:t>文明工地的,奖励2万元。对当年创省级优质工程等省级命名的其它奖的,奖励1万元。对当年创市优良工程奖、市安全文明工地的,奖励5000元。新余市内工程获“鲁班奖”的,加倍奖励。同一项目获荣誉</w:t>
      </w:r>
      <w:proofErr w:type="gramStart"/>
      <w:r w:rsidRPr="00BB0305">
        <w:rPr>
          <w:rFonts w:ascii="微软雅黑" w:eastAsia="微软雅黑" w:hAnsi="微软雅黑" w:cs="宋体" w:hint="eastAsia"/>
          <w:color w:val="000000"/>
          <w:kern w:val="0"/>
          <w:szCs w:val="21"/>
          <w:bdr w:val="none" w:sz="0" w:space="0" w:color="auto" w:frame="1"/>
        </w:rPr>
        <w:t>奖励按</w:t>
      </w:r>
      <w:proofErr w:type="gramEnd"/>
      <w:r w:rsidRPr="00BB0305">
        <w:rPr>
          <w:rFonts w:ascii="微软雅黑" w:eastAsia="微软雅黑" w:hAnsi="微软雅黑" w:cs="宋体" w:hint="eastAsia"/>
          <w:color w:val="000000"/>
          <w:kern w:val="0"/>
          <w:szCs w:val="21"/>
          <w:bdr w:val="none" w:sz="0" w:space="0" w:color="auto" w:frame="1"/>
        </w:rPr>
        <w:t>最高荣誉奖励。</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b/>
          <w:bCs/>
          <w:color w:val="000000"/>
          <w:kern w:val="0"/>
          <w:szCs w:val="21"/>
          <w:bdr w:val="none" w:sz="0" w:space="0" w:color="auto" w:frame="1"/>
        </w:rPr>
        <w:t>(四)鼓励企业技能培训。</w:t>
      </w:r>
      <w:r w:rsidRPr="00BB0305">
        <w:rPr>
          <w:rFonts w:ascii="微软雅黑" w:eastAsia="微软雅黑" w:hAnsi="微软雅黑" w:cs="宋体" w:hint="eastAsia"/>
          <w:color w:val="000000"/>
          <w:kern w:val="0"/>
          <w:szCs w:val="21"/>
          <w:bdr w:val="none" w:sz="0" w:space="0" w:color="auto" w:frame="1"/>
        </w:rPr>
        <w:t>积极组织参加技能大比武活动,对获得一等奖的,企业职工技能培训经费可以按不超过职工工资总额的2.5%按实税前列支,超过部分准予结转以后纳税年度扣除。鼓励企业创办职工培训学校,积极开展职工技能培训,对培训后经技能鉴定取得</w:t>
      </w:r>
      <w:proofErr w:type="gramStart"/>
      <w:r w:rsidRPr="00BB0305">
        <w:rPr>
          <w:rFonts w:ascii="微软雅黑" w:eastAsia="微软雅黑" w:hAnsi="微软雅黑" w:cs="宋体" w:hint="eastAsia"/>
          <w:color w:val="000000"/>
          <w:kern w:val="0"/>
          <w:szCs w:val="21"/>
          <w:bdr w:val="none" w:sz="0" w:space="0" w:color="auto" w:frame="1"/>
        </w:rPr>
        <w:t>人社部门</w:t>
      </w:r>
      <w:proofErr w:type="gramEnd"/>
      <w:r w:rsidRPr="00BB0305">
        <w:rPr>
          <w:rFonts w:ascii="微软雅黑" w:eastAsia="微软雅黑" w:hAnsi="微软雅黑" w:cs="宋体" w:hint="eastAsia"/>
          <w:color w:val="000000"/>
          <w:kern w:val="0"/>
          <w:szCs w:val="21"/>
          <w:bdr w:val="none" w:sz="0" w:space="0" w:color="auto" w:frame="1"/>
        </w:rPr>
        <w:t>颁发的相应等级职业资格证书的人员,根据《新余市人力资源和社会保障局新余市财政</w:t>
      </w:r>
      <w:r w:rsidRPr="00BB0305">
        <w:rPr>
          <w:rFonts w:ascii="微软雅黑" w:eastAsia="微软雅黑" w:hAnsi="微软雅黑" w:cs="宋体" w:hint="eastAsia"/>
          <w:color w:val="000000"/>
          <w:kern w:val="0"/>
          <w:szCs w:val="21"/>
          <w:bdr w:val="none" w:sz="0" w:space="0" w:color="auto" w:frame="1"/>
        </w:rPr>
        <w:lastRenderedPageBreak/>
        <w:t>局关于印发新余市享受政府补贴就业创业培训实施办法的通知》(余人社字〔2014〕183号)享受培训补贴。</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b/>
          <w:bCs/>
          <w:color w:val="000000"/>
          <w:kern w:val="0"/>
          <w:szCs w:val="21"/>
          <w:bdr w:val="none" w:sz="0" w:space="0" w:color="auto" w:frame="1"/>
        </w:rPr>
        <w:t>(五)鼓励企业参评授信。</w:t>
      </w:r>
      <w:r w:rsidRPr="00BB0305">
        <w:rPr>
          <w:rFonts w:ascii="微软雅黑" w:eastAsia="微软雅黑" w:hAnsi="微软雅黑" w:cs="宋体" w:hint="eastAsia"/>
          <w:color w:val="000000"/>
          <w:kern w:val="0"/>
          <w:szCs w:val="21"/>
          <w:bdr w:val="none" w:sz="0" w:space="0" w:color="auto" w:frame="1"/>
        </w:rPr>
        <w:t>对连续三年内未发生工资拖欠的企业且获得</w:t>
      </w:r>
      <w:proofErr w:type="gramStart"/>
      <w:r w:rsidRPr="00BB0305">
        <w:rPr>
          <w:rFonts w:ascii="微软雅黑" w:eastAsia="微软雅黑" w:hAnsi="微软雅黑" w:cs="宋体" w:hint="eastAsia"/>
          <w:color w:val="000000"/>
          <w:kern w:val="0"/>
          <w:szCs w:val="21"/>
          <w:bdr w:val="none" w:sz="0" w:space="0" w:color="auto" w:frame="1"/>
        </w:rPr>
        <w:t>人社部门</w:t>
      </w:r>
      <w:proofErr w:type="gramEnd"/>
      <w:r w:rsidRPr="00BB0305">
        <w:rPr>
          <w:rFonts w:ascii="微软雅黑" w:eastAsia="微软雅黑" w:hAnsi="微软雅黑" w:cs="宋体" w:hint="eastAsia"/>
          <w:color w:val="000000"/>
          <w:kern w:val="0"/>
          <w:szCs w:val="21"/>
          <w:bdr w:val="none" w:sz="0" w:space="0" w:color="auto" w:frame="1"/>
        </w:rPr>
        <w:t>A级、住建等部门AAA、AA级以上诚信等级企业,可以适当降低农民工资保证金缴存比例,但总额不得少于原规定缴存额的50%。对参与第三方信用评级的建筑施工企业,可有优先参与新余市</w:t>
      </w:r>
      <w:proofErr w:type="gramStart"/>
      <w:r w:rsidRPr="00BB0305">
        <w:rPr>
          <w:rFonts w:ascii="微软雅黑" w:eastAsia="微软雅黑" w:hAnsi="微软雅黑" w:cs="宋体" w:hint="eastAsia"/>
          <w:color w:val="000000"/>
          <w:kern w:val="0"/>
          <w:szCs w:val="21"/>
          <w:bdr w:val="none" w:sz="0" w:space="0" w:color="auto" w:frame="1"/>
        </w:rPr>
        <w:t>财园信贷</w:t>
      </w:r>
      <w:proofErr w:type="gramEnd"/>
      <w:r w:rsidRPr="00BB0305">
        <w:rPr>
          <w:rFonts w:ascii="微软雅黑" w:eastAsia="微软雅黑" w:hAnsi="微软雅黑" w:cs="宋体" w:hint="eastAsia"/>
          <w:color w:val="000000"/>
          <w:kern w:val="0"/>
          <w:szCs w:val="21"/>
          <w:bdr w:val="none" w:sz="0" w:space="0" w:color="auto" w:frame="1"/>
        </w:rPr>
        <w:t>通融资项目,信用等级BBB以上企业,可向新余辖内银行业金融机构申请免除融资业务中的工本费、咨询费、资金管理费等中间费用。对</w:t>
      </w:r>
      <w:proofErr w:type="gramStart"/>
      <w:r w:rsidRPr="00BB0305">
        <w:rPr>
          <w:rFonts w:ascii="微软雅黑" w:eastAsia="微软雅黑" w:hAnsi="微软雅黑" w:cs="宋体" w:hint="eastAsia"/>
          <w:color w:val="000000"/>
          <w:kern w:val="0"/>
          <w:szCs w:val="21"/>
          <w:bdr w:val="none" w:sz="0" w:space="0" w:color="auto" w:frame="1"/>
        </w:rPr>
        <w:t>获得住建部门</w:t>
      </w:r>
      <w:proofErr w:type="gramEnd"/>
      <w:r w:rsidRPr="00BB0305">
        <w:rPr>
          <w:rFonts w:ascii="微软雅黑" w:eastAsia="微软雅黑" w:hAnsi="微软雅黑" w:cs="宋体" w:hint="eastAsia"/>
          <w:color w:val="000000"/>
          <w:kern w:val="0"/>
          <w:szCs w:val="21"/>
          <w:bdr w:val="none" w:sz="0" w:space="0" w:color="auto" w:frame="1"/>
        </w:rPr>
        <w:t>或市建筑业协会授信的企业按《新余市住房和城乡建设委员会关于印发新余市房屋建筑工程和市政公用工程施工总承包企业信用评价办法(试行)的通知》(</w:t>
      </w:r>
      <w:proofErr w:type="gramStart"/>
      <w:r w:rsidRPr="00BB0305">
        <w:rPr>
          <w:rFonts w:ascii="微软雅黑" w:eastAsia="微软雅黑" w:hAnsi="微软雅黑" w:cs="宋体" w:hint="eastAsia"/>
          <w:color w:val="000000"/>
          <w:kern w:val="0"/>
          <w:szCs w:val="21"/>
          <w:bdr w:val="none" w:sz="0" w:space="0" w:color="auto" w:frame="1"/>
        </w:rPr>
        <w:t>余住建</w:t>
      </w:r>
      <w:proofErr w:type="gramEnd"/>
      <w:r w:rsidRPr="00BB0305">
        <w:rPr>
          <w:rFonts w:ascii="微软雅黑" w:eastAsia="微软雅黑" w:hAnsi="微软雅黑" w:cs="宋体" w:hint="eastAsia"/>
          <w:color w:val="000000"/>
          <w:kern w:val="0"/>
          <w:szCs w:val="21"/>
          <w:bdr w:val="none" w:sz="0" w:space="0" w:color="auto" w:frame="1"/>
        </w:rPr>
        <w:t>〔2016〕83号)精神享受相应待遇。</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b/>
          <w:bCs/>
          <w:color w:val="000000"/>
          <w:kern w:val="0"/>
          <w:szCs w:val="21"/>
          <w:bdr w:val="none" w:sz="0" w:space="0" w:color="auto" w:frame="1"/>
        </w:rPr>
        <w:t>(六)鼓励企业科技创新。</w:t>
      </w:r>
      <w:r w:rsidRPr="00BB0305">
        <w:rPr>
          <w:rFonts w:ascii="微软雅黑" w:eastAsia="微软雅黑" w:hAnsi="微软雅黑" w:cs="宋体" w:hint="eastAsia"/>
          <w:color w:val="000000"/>
          <w:kern w:val="0"/>
          <w:szCs w:val="21"/>
          <w:bdr w:val="none" w:sz="0" w:space="0" w:color="auto" w:frame="1"/>
        </w:rPr>
        <w:t>鼓励企业开发新产品和利用科研成果,鼓励企业积极探索发展装配式建筑。支持建筑企业加强与高等院校、科研院所的合作,开发新产品(服务)、新技术、新工艺所发生的研发费用未形成无形资产计入当期损益的,在按规定据实扣除的基础上,按研究开发费用的50%加计扣除;形成无形资产的,按无形资产成本的150%摊销。鼓励企业技改投入,企业拥有并用于生产经营的主要或关键的固定资产,确需加速折旧的,符合税法相关规定的,向主管税务机关备案,可以缩短折旧年限或者采取加速折旧的办法。</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对新认定为国家、</w:t>
      </w:r>
      <w:proofErr w:type="gramStart"/>
      <w:r w:rsidRPr="00BB0305">
        <w:rPr>
          <w:rFonts w:ascii="微软雅黑" w:eastAsia="微软雅黑" w:hAnsi="微软雅黑" w:cs="宋体" w:hint="eastAsia"/>
          <w:color w:val="000000"/>
          <w:kern w:val="0"/>
          <w:szCs w:val="21"/>
          <w:bdr w:val="none" w:sz="0" w:space="0" w:color="auto" w:frame="1"/>
        </w:rPr>
        <w:t>省企业</w:t>
      </w:r>
      <w:proofErr w:type="gramEnd"/>
      <w:r w:rsidRPr="00BB0305">
        <w:rPr>
          <w:rFonts w:ascii="微软雅黑" w:eastAsia="微软雅黑" w:hAnsi="微软雅黑" w:cs="宋体" w:hint="eastAsia"/>
          <w:color w:val="000000"/>
          <w:kern w:val="0"/>
          <w:szCs w:val="21"/>
          <w:bdr w:val="none" w:sz="0" w:space="0" w:color="auto" w:frame="1"/>
        </w:rPr>
        <w:t>技术中心的建筑企业,依次分别给予50万元、10万元奖励;对新申请国内发明专利、实用型专利、外观设计专利(并且由市科技局组织申报的)获授权后,每件分别给予1.5万元、1200元、600元的补助;对获得全国新技术应用示范工程的,每项奖励2万元;对获得国家或省级绿色施工工地(以省级以上政府或部门命名为准)的,分别奖</w:t>
      </w:r>
      <w:r w:rsidRPr="00BB0305">
        <w:rPr>
          <w:rFonts w:ascii="微软雅黑" w:eastAsia="微软雅黑" w:hAnsi="微软雅黑" w:cs="宋体" w:hint="eastAsia"/>
          <w:color w:val="000000"/>
          <w:kern w:val="0"/>
          <w:szCs w:val="21"/>
          <w:bdr w:val="none" w:sz="0" w:space="0" w:color="auto" w:frame="1"/>
        </w:rPr>
        <w:lastRenderedPageBreak/>
        <w:t>励2万元、1万元;对参加主编国家标准或行业标准的,分别奖励2万元、1万元,对参编国家标准或行业标准的奖励1万元。</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鼓励企业积极申报国家级、省级、市级施工</w:t>
      </w:r>
      <w:proofErr w:type="gramStart"/>
      <w:r w:rsidRPr="00BB0305">
        <w:rPr>
          <w:rFonts w:ascii="微软雅黑" w:eastAsia="微软雅黑" w:hAnsi="微软雅黑" w:cs="宋体" w:hint="eastAsia"/>
          <w:color w:val="000000"/>
          <w:kern w:val="0"/>
          <w:szCs w:val="21"/>
          <w:bdr w:val="none" w:sz="0" w:space="0" w:color="auto" w:frame="1"/>
        </w:rPr>
        <w:t>工</w:t>
      </w:r>
      <w:proofErr w:type="gramEnd"/>
      <w:r w:rsidRPr="00BB0305">
        <w:rPr>
          <w:rFonts w:ascii="微软雅黑" w:eastAsia="微软雅黑" w:hAnsi="微软雅黑" w:cs="宋体" w:hint="eastAsia"/>
          <w:color w:val="000000"/>
          <w:kern w:val="0"/>
          <w:szCs w:val="21"/>
          <w:bdr w:val="none" w:sz="0" w:space="0" w:color="auto" w:frame="1"/>
        </w:rPr>
        <w:t>法,对评审通过的国家级、省级、市级工法每项分别给予5万元、2万元、5000元奖励;对评审通过的专业学会QC技术成果奖按一等奖1.5万元、二等奖1万元、三等奖5000元给予奖励。</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b/>
          <w:bCs/>
          <w:color w:val="000000"/>
          <w:kern w:val="0"/>
          <w:szCs w:val="21"/>
          <w:bdr w:val="none" w:sz="0" w:space="0" w:color="auto" w:frame="1"/>
        </w:rPr>
        <w:t>(七)营造企业发展氛围。</w:t>
      </w:r>
      <w:r w:rsidRPr="00BB0305">
        <w:rPr>
          <w:rFonts w:ascii="微软雅黑" w:eastAsia="微软雅黑" w:hAnsi="微软雅黑" w:cs="宋体" w:hint="eastAsia"/>
          <w:color w:val="000000"/>
          <w:kern w:val="0"/>
          <w:szCs w:val="21"/>
          <w:bdr w:val="none" w:sz="0" w:space="0" w:color="auto" w:frame="1"/>
        </w:rPr>
        <w:t>成立分管副市长为组长的建筑业发展领导小组,各部门通力合作,住</w:t>
      </w:r>
      <w:proofErr w:type="gramStart"/>
      <w:r w:rsidRPr="00BB0305">
        <w:rPr>
          <w:rFonts w:ascii="微软雅黑" w:eastAsia="微软雅黑" w:hAnsi="微软雅黑" w:cs="宋体" w:hint="eastAsia"/>
          <w:color w:val="000000"/>
          <w:kern w:val="0"/>
          <w:szCs w:val="21"/>
          <w:bdr w:val="none" w:sz="0" w:space="0" w:color="auto" w:frame="1"/>
        </w:rPr>
        <w:t>建部门</w:t>
      </w:r>
      <w:proofErr w:type="gramEnd"/>
      <w:r w:rsidRPr="00BB0305">
        <w:rPr>
          <w:rFonts w:ascii="微软雅黑" w:eastAsia="微软雅黑" w:hAnsi="微软雅黑" w:cs="宋体" w:hint="eastAsia"/>
          <w:color w:val="000000"/>
          <w:kern w:val="0"/>
          <w:szCs w:val="21"/>
          <w:bdr w:val="none" w:sz="0" w:space="0" w:color="auto" w:frame="1"/>
        </w:rPr>
        <w:t>负责指导建筑业企业生产经营、资质升级增项、对外拓展业务;财政部门负责落实奖励政策;税务部门负责落实有关税收政策;</w:t>
      </w:r>
      <w:proofErr w:type="gramStart"/>
      <w:r w:rsidRPr="00BB0305">
        <w:rPr>
          <w:rFonts w:ascii="微软雅黑" w:eastAsia="微软雅黑" w:hAnsi="微软雅黑" w:cs="宋体" w:hint="eastAsia"/>
          <w:color w:val="000000"/>
          <w:kern w:val="0"/>
          <w:szCs w:val="21"/>
          <w:bdr w:val="none" w:sz="0" w:space="0" w:color="auto" w:frame="1"/>
        </w:rPr>
        <w:t>人社部门</w:t>
      </w:r>
      <w:proofErr w:type="gramEnd"/>
      <w:r w:rsidRPr="00BB0305">
        <w:rPr>
          <w:rFonts w:ascii="微软雅黑" w:eastAsia="微软雅黑" w:hAnsi="微软雅黑" w:cs="宋体" w:hint="eastAsia"/>
          <w:color w:val="000000"/>
          <w:kern w:val="0"/>
          <w:szCs w:val="21"/>
          <w:bdr w:val="none" w:sz="0" w:space="0" w:color="auto" w:frame="1"/>
        </w:rPr>
        <w:t>负责职称评定。</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b/>
          <w:bCs/>
          <w:color w:val="000000"/>
          <w:kern w:val="0"/>
          <w:szCs w:val="21"/>
          <w:bdr w:val="none" w:sz="0" w:space="0" w:color="auto" w:frame="1"/>
        </w:rPr>
        <w:t>(八)鼓励企业创先争优。</w:t>
      </w:r>
      <w:r w:rsidRPr="00BB0305">
        <w:rPr>
          <w:rFonts w:ascii="微软雅黑" w:eastAsia="微软雅黑" w:hAnsi="微软雅黑" w:cs="宋体" w:hint="eastAsia"/>
          <w:color w:val="000000"/>
          <w:kern w:val="0"/>
          <w:szCs w:val="21"/>
          <w:bdr w:val="none" w:sz="0" w:space="0" w:color="auto" w:frame="1"/>
        </w:rPr>
        <w:t>每年开展龙头企业、十强企业、新余市诚信建筑企业评选表彰。</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龙头企业评定标准:对年产值达到25亿元、年实缴地方税费达到5000万元以上的,命名为建筑业“龙头企业”,并授予企业经营者“新余市建筑业发展杰出人才”。</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十强企业评定标准:从建安产值、新承接工程量、实缴地方税收、工程质量安全、科技创新能力、民工工资等几方面进行综合评定,命名为建筑业“十强企业”,并授予企业经营者“新余市建筑业发展优秀人才”。</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新余市诚信建筑企业评定标准:获得三个部门认可的最高信用评级的企业,命名为“新余市诚信建筑业企业”。</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进行命名表彰。市建筑业管理部门根据建筑业产值、入库税收、工程质量、安全生产、经济效益等指标对各建安企业及个人进行综合考评,在此基础上评选龙头企业、建筑业</w:t>
      </w:r>
      <w:r w:rsidRPr="00BB0305">
        <w:rPr>
          <w:rFonts w:ascii="微软雅黑" w:eastAsia="微软雅黑" w:hAnsi="微软雅黑" w:cs="宋体" w:hint="eastAsia"/>
          <w:color w:val="000000"/>
          <w:kern w:val="0"/>
          <w:szCs w:val="21"/>
          <w:bdr w:val="none" w:sz="0" w:space="0" w:color="auto" w:frame="1"/>
        </w:rPr>
        <w:lastRenderedPageBreak/>
        <w:t>十强企业、新余市诚信建筑业企业、新余市建筑业发展杰出人才、新余市建筑业发展优秀人才、优秀项目经理等,每年由市政府统一表彰。</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四、政策落实</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奖励资金与企业信用评级挂钩,未参与市行业部门或行业协会信用评级的企业不能给予奖励。</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建筑业企业外迁离</w:t>
      </w:r>
      <w:proofErr w:type="gramStart"/>
      <w:r w:rsidRPr="00BB0305">
        <w:rPr>
          <w:rFonts w:ascii="微软雅黑" w:eastAsia="微软雅黑" w:hAnsi="微软雅黑" w:cs="宋体" w:hint="eastAsia"/>
          <w:color w:val="000000"/>
          <w:kern w:val="0"/>
          <w:szCs w:val="21"/>
          <w:bdr w:val="none" w:sz="0" w:space="0" w:color="auto" w:frame="1"/>
        </w:rPr>
        <w:t>开本市</w:t>
      </w:r>
      <w:proofErr w:type="gramEnd"/>
      <w:r w:rsidRPr="00BB0305">
        <w:rPr>
          <w:rFonts w:ascii="微软雅黑" w:eastAsia="微软雅黑" w:hAnsi="微软雅黑" w:cs="宋体" w:hint="eastAsia"/>
          <w:color w:val="000000"/>
          <w:kern w:val="0"/>
          <w:szCs w:val="21"/>
          <w:bdr w:val="none" w:sz="0" w:space="0" w:color="auto" w:frame="1"/>
        </w:rPr>
        <w:t>的,应当缴回近5年内按本意见所享受的全部奖励金后,才予办理迁出手续。</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proofErr w:type="gramStart"/>
      <w:r w:rsidRPr="00BB0305">
        <w:rPr>
          <w:rFonts w:ascii="微软雅黑" w:eastAsia="微软雅黑" w:hAnsi="微软雅黑" w:cs="宋体" w:hint="eastAsia"/>
          <w:color w:val="000000"/>
          <w:kern w:val="0"/>
          <w:szCs w:val="21"/>
          <w:bdr w:val="none" w:sz="0" w:space="0" w:color="auto" w:frame="1"/>
        </w:rPr>
        <w:t>本意见自2017年1月1日</w:t>
      </w:r>
      <w:proofErr w:type="gramEnd"/>
      <w:r w:rsidRPr="00BB0305">
        <w:rPr>
          <w:rFonts w:ascii="微软雅黑" w:eastAsia="微软雅黑" w:hAnsi="微软雅黑" w:cs="宋体" w:hint="eastAsia"/>
          <w:color w:val="000000"/>
          <w:kern w:val="0"/>
          <w:szCs w:val="21"/>
          <w:bdr w:val="none" w:sz="0" w:space="0" w:color="auto" w:frame="1"/>
        </w:rPr>
        <w:t>至2020年12月31日施行,各县(区)参照执行。</w:t>
      </w:r>
    </w:p>
    <w:p w:rsidR="00BB0305" w:rsidRPr="00BB0305" w:rsidRDefault="00BB0305" w:rsidP="00BB0305">
      <w:pPr>
        <w:widowControl/>
        <w:spacing w:before="100" w:beforeAutospacing="1" w:after="100" w:afterAutospacing="1" w:line="450" w:lineRule="atLeast"/>
        <w:ind w:firstLine="480"/>
        <w:jc w:val="lef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新余市人民政府</w:t>
      </w:r>
    </w:p>
    <w:p w:rsidR="00BB0305" w:rsidRPr="00BB0305" w:rsidRDefault="00BB0305" w:rsidP="00BB0305">
      <w:pPr>
        <w:widowControl/>
        <w:spacing w:before="100" w:beforeAutospacing="1" w:after="100" w:afterAutospacing="1" w:line="450" w:lineRule="atLeast"/>
        <w:ind w:firstLine="480"/>
        <w:jc w:val="right"/>
        <w:rPr>
          <w:rFonts w:ascii="微软雅黑" w:eastAsia="微软雅黑" w:hAnsi="微软雅黑" w:cs="宋体" w:hint="eastAsia"/>
          <w:color w:val="000000"/>
          <w:kern w:val="0"/>
          <w:szCs w:val="21"/>
        </w:rPr>
      </w:pPr>
      <w:r w:rsidRPr="00BB0305">
        <w:rPr>
          <w:rFonts w:ascii="微软雅黑" w:eastAsia="微软雅黑" w:hAnsi="微软雅黑" w:cs="宋体" w:hint="eastAsia"/>
          <w:color w:val="000000"/>
          <w:kern w:val="0"/>
          <w:szCs w:val="21"/>
          <w:bdr w:val="none" w:sz="0" w:space="0" w:color="auto" w:frame="1"/>
        </w:rPr>
        <w:t>2017年6月24日</w:t>
      </w:r>
    </w:p>
    <w:p w:rsidR="00CB2227" w:rsidRDefault="00CB2227"/>
    <w:sectPr w:rsidR="00CB2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05"/>
    <w:rsid w:val="00BB0305"/>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E9D12-69E7-46E0-9DB3-E389777F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B0305"/>
    <w:pPr>
      <w:widowControl/>
      <w:spacing w:before="100" w:beforeAutospacing="1" w:after="100" w:afterAutospacing="1"/>
      <w:jc w:val="left"/>
      <w:outlineLvl w:val="1"/>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B0305"/>
    <w:rPr>
      <w:rFonts w:ascii="宋体" w:eastAsia="宋体" w:hAnsi="宋体" w:cs="宋体"/>
      <w:kern w:val="0"/>
      <w:sz w:val="18"/>
      <w:szCs w:val="18"/>
    </w:rPr>
  </w:style>
  <w:style w:type="character" w:styleId="a3">
    <w:name w:val="Hyperlink"/>
    <w:basedOn w:val="a0"/>
    <w:uiPriority w:val="99"/>
    <w:semiHidden/>
    <w:unhideWhenUsed/>
    <w:rsid w:val="00BB0305"/>
    <w:rPr>
      <w:strike w:val="0"/>
      <w:dstrike w:val="0"/>
      <w:color w:val="333333"/>
      <w:u w:val="none"/>
      <w:effect w:val="none"/>
    </w:rPr>
  </w:style>
  <w:style w:type="paragraph" w:styleId="a4">
    <w:name w:val="Normal (Web)"/>
    <w:basedOn w:val="a"/>
    <w:uiPriority w:val="99"/>
    <w:semiHidden/>
    <w:unhideWhenUsed/>
    <w:rsid w:val="00BB0305"/>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BB03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041260">
      <w:bodyDiv w:val="1"/>
      <w:marLeft w:val="0"/>
      <w:marRight w:val="0"/>
      <w:marTop w:val="0"/>
      <w:marBottom w:val="0"/>
      <w:divBdr>
        <w:top w:val="none" w:sz="0" w:space="0" w:color="auto"/>
        <w:left w:val="none" w:sz="0" w:space="0" w:color="auto"/>
        <w:bottom w:val="none" w:sz="0" w:space="0" w:color="auto"/>
        <w:right w:val="none" w:sz="0" w:space="0" w:color="auto"/>
      </w:divBdr>
      <w:divsChild>
        <w:div w:id="65691947">
          <w:marLeft w:val="0"/>
          <w:marRight w:val="0"/>
          <w:marTop w:val="0"/>
          <w:marBottom w:val="0"/>
          <w:divBdr>
            <w:top w:val="none" w:sz="0" w:space="0" w:color="auto"/>
            <w:left w:val="none" w:sz="0" w:space="0" w:color="auto"/>
            <w:bottom w:val="none" w:sz="0" w:space="0" w:color="auto"/>
            <w:right w:val="none" w:sz="0" w:space="0" w:color="auto"/>
          </w:divBdr>
          <w:divsChild>
            <w:div w:id="2103068590">
              <w:marLeft w:val="0"/>
              <w:marRight w:val="0"/>
              <w:marTop w:val="0"/>
              <w:marBottom w:val="0"/>
              <w:divBdr>
                <w:top w:val="none" w:sz="0" w:space="0" w:color="auto"/>
                <w:left w:val="none" w:sz="0" w:space="0" w:color="auto"/>
                <w:bottom w:val="none" w:sz="0" w:space="0" w:color="auto"/>
                <w:right w:val="none" w:sz="0" w:space="0" w:color="auto"/>
              </w:divBdr>
              <w:divsChild>
                <w:div w:id="1162160470">
                  <w:marLeft w:val="0"/>
                  <w:marRight w:val="0"/>
                  <w:marTop w:val="0"/>
                  <w:marBottom w:val="0"/>
                  <w:divBdr>
                    <w:top w:val="dashed" w:sz="6" w:space="0" w:color="D4D4D4"/>
                    <w:left w:val="none" w:sz="0" w:space="0" w:color="auto"/>
                    <w:bottom w:val="dashed" w:sz="6" w:space="0" w:color="D4D4D4"/>
                    <w:right w:val="none" w:sz="0" w:space="0" w:color="auto"/>
                  </w:divBdr>
                </w:div>
                <w:div w:id="1463310455">
                  <w:marLeft w:val="0"/>
                  <w:marRight w:val="0"/>
                  <w:marTop w:val="0"/>
                  <w:marBottom w:val="0"/>
                  <w:divBdr>
                    <w:top w:val="none" w:sz="0" w:space="0" w:color="auto"/>
                    <w:left w:val="none" w:sz="0" w:space="0" w:color="auto"/>
                    <w:bottom w:val="none" w:sz="0" w:space="0" w:color="auto"/>
                    <w:right w:val="none" w:sz="0" w:space="0" w:color="auto"/>
                  </w:divBdr>
                  <w:divsChild>
                    <w:div w:id="15075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hyperlink" Target="javascript:doZoom(14)" TargetMode="External"/><Relationship Id="rId4"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2018-05-10T03:06:00Z</dcterms:created>
  <dcterms:modified xsi:type="dcterms:W3CDTF">2018-05-10T03:09:00Z</dcterms:modified>
</cp:coreProperties>
</file>