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60" w:type="dxa"/>
        <w:jc w:val="center"/>
        <w:tblCellSpacing w:w="0" w:type="dxa"/>
        <w:shd w:val="clear" w:color="auto" w:fill="FFFFFF"/>
        <w:tblCellMar>
          <w:left w:w="0" w:type="dxa"/>
          <w:right w:w="0" w:type="dxa"/>
        </w:tblCellMar>
        <w:tblLook w:val="04A0" w:firstRow="1" w:lastRow="0" w:firstColumn="1" w:lastColumn="0" w:noHBand="0" w:noVBand="1"/>
      </w:tblPr>
      <w:tblGrid>
        <w:gridCol w:w="15060"/>
      </w:tblGrid>
      <w:tr w:rsidR="00371DAB" w:rsidRPr="00371DAB" w:rsidTr="00371DAB">
        <w:trPr>
          <w:trHeight w:val="6000"/>
          <w:tblCellSpacing w:w="0" w:type="dxa"/>
          <w:jc w:val="center"/>
        </w:trPr>
        <w:tc>
          <w:tcPr>
            <w:tcW w:w="1506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5060"/>
            </w:tblGrid>
            <w:tr w:rsidR="00371DAB" w:rsidRPr="00371DAB">
              <w:trPr>
                <w:tblCellSpacing w:w="0" w:type="dxa"/>
                <w:jc w:val="center"/>
              </w:trPr>
              <w:tc>
                <w:tcPr>
                  <w:tcW w:w="0" w:type="auto"/>
                  <w:vAlign w:val="center"/>
                  <w:hideMark/>
                </w:tcPr>
                <w:tbl>
                  <w:tblPr>
                    <w:tblW w:w="5000" w:type="pct"/>
                    <w:jc w:val="center"/>
                    <w:tblCellSpacing w:w="0" w:type="dxa"/>
                    <w:tblBorders>
                      <w:left w:val="single" w:sz="6" w:space="0" w:color="DADCDE"/>
                      <w:bottom w:val="single" w:sz="6" w:space="0" w:color="DADCDE"/>
                      <w:right w:val="single" w:sz="6" w:space="0" w:color="DADCDE"/>
                    </w:tblBorders>
                    <w:tblCellMar>
                      <w:left w:w="0" w:type="dxa"/>
                      <w:right w:w="0" w:type="dxa"/>
                    </w:tblCellMar>
                    <w:tblLook w:val="04A0" w:firstRow="1" w:lastRow="0" w:firstColumn="1" w:lastColumn="0" w:noHBand="0" w:noVBand="1"/>
                  </w:tblPr>
                  <w:tblGrid>
                    <w:gridCol w:w="15044"/>
                  </w:tblGrid>
                  <w:tr w:rsidR="00371DAB" w:rsidRPr="00371DAB" w:rsidTr="00371DAB">
                    <w:trPr>
                      <w:trHeight w:val="600"/>
                      <w:tblCellSpacing w:w="0" w:type="dxa"/>
                      <w:jc w:val="center"/>
                    </w:trPr>
                    <w:tc>
                      <w:tcPr>
                        <w:tcW w:w="0" w:type="auto"/>
                        <w:vAlign w:val="center"/>
                        <w:hideMark/>
                      </w:tcPr>
                      <w:p w:rsidR="00371DAB" w:rsidRPr="00371DAB" w:rsidRDefault="00371DAB" w:rsidP="00371DAB">
                        <w:pPr>
                          <w:widowControl/>
                          <w:spacing w:before="100" w:beforeAutospacing="1" w:after="100" w:afterAutospacing="1" w:line="450" w:lineRule="atLeast"/>
                          <w:jc w:val="center"/>
                          <w:outlineLvl w:val="0"/>
                          <w:rPr>
                            <w:rFonts w:ascii="Tahoma" w:eastAsia="宋体" w:hAnsi="Tahoma" w:cs="Tahoma"/>
                            <w:b/>
                            <w:bCs/>
                            <w:color w:val="000000"/>
                            <w:kern w:val="36"/>
                            <w:sz w:val="36"/>
                            <w:szCs w:val="36"/>
                          </w:rPr>
                        </w:pPr>
                        <w:r w:rsidRPr="00371DAB">
                          <w:rPr>
                            <w:rFonts w:ascii="Tahoma" w:eastAsia="宋体" w:hAnsi="Tahoma" w:cs="Tahoma"/>
                            <w:b/>
                            <w:bCs/>
                            <w:color w:val="000000"/>
                            <w:kern w:val="36"/>
                            <w:sz w:val="36"/>
                            <w:szCs w:val="36"/>
                          </w:rPr>
                          <w:t>济南市历城区推进科技创新中心建设加快新旧动能转换暂行办法</w:t>
                        </w:r>
                      </w:p>
                    </w:tc>
                  </w:tr>
                  <w:tr w:rsidR="00371DAB" w:rsidRPr="00371DAB" w:rsidTr="00371DAB">
                    <w:trPr>
                      <w:trHeight w:val="200"/>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13513"/>
                        </w:tblGrid>
                        <w:tr w:rsidR="00371DAB" w:rsidRPr="00371DAB">
                          <w:trPr>
                            <w:tblCellSpacing w:w="0" w:type="dxa"/>
                            <w:jc w:val="center"/>
                          </w:trPr>
                          <w:tc>
                            <w:tcPr>
                              <w:tcW w:w="0" w:type="auto"/>
                              <w:vAlign w:val="center"/>
                              <w:hideMark/>
                            </w:tcPr>
                            <w:p w:rsidR="00371DAB" w:rsidRPr="00371DAB" w:rsidRDefault="00371DAB" w:rsidP="00371DAB">
                              <w:pPr>
                                <w:widowControl/>
                                <w:spacing w:line="252" w:lineRule="atLeast"/>
                                <w:jc w:val="left"/>
                                <w:rPr>
                                  <w:rFonts w:ascii="宋体" w:eastAsia="宋体" w:hAnsi="宋体" w:cs="宋体"/>
                                  <w:kern w:val="0"/>
                                  <w:sz w:val="18"/>
                                  <w:szCs w:val="18"/>
                                </w:rPr>
                              </w:pPr>
                              <w:r w:rsidRPr="00371DAB">
                                <w:rPr>
                                  <w:rFonts w:ascii="宋体" w:eastAsia="宋体" w:hAnsi="宋体" w:cs="宋体" w:hint="eastAsia"/>
                                  <w:kern w:val="0"/>
                                  <w:sz w:val="18"/>
                                  <w:szCs w:val="18"/>
                                </w:rPr>
                                <w:pict>
                                  <v:rect id="_x0000_i1025" style="width:0;height:1pt" o:hrstd="t" o:hrnoshade="t" o:hr="t" fillcolor="#a0a0a0" stroked="f"/>
                                </w:pict>
                              </w:r>
                            </w:p>
                          </w:tc>
                        </w:tr>
                      </w:tbl>
                      <w:p w:rsidR="00371DAB" w:rsidRPr="00371DAB" w:rsidRDefault="00371DAB" w:rsidP="00371DAB">
                        <w:pPr>
                          <w:widowControl/>
                          <w:spacing w:line="252" w:lineRule="atLeast"/>
                          <w:jc w:val="center"/>
                          <w:rPr>
                            <w:rFonts w:ascii="宋体" w:eastAsia="宋体" w:hAnsi="宋体" w:cs="Tahoma" w:hint="eastAsia"/>
                            <w:kern w:val="0"/>
                            <w:sz w:val="18"/>
                            <w:szCs w:val="18"/>
                          </w:rPr>
                        </w:pPr>
                      </w:p>
                    </w:tc>
                  </w:tr>
                  <w:tr w:rsidR="00371DAB" w:rsidRPr="00371DAB" w:rsidTr="00371DAB">
                    <w:trPr>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13513"/>
                        </w:tblGrid>
                        <w:tr w:rsidR="00371DAB" w:rsidRPr="00371DAB">
                          <w:trPr>
                            <w:trHeight w:val="250"/>
                            <w:tblCellSpacing w:w="0" w:type="dxa"/>
                            <w:jc w:val="center"/>
                          </w:trPr>
                          <w:tc>
                            <w:tcPr>
                              <w:tcW w:w="0" w:type="auto"/>
                              <w:shd w:val="clear" w:color="auto" w:fill="F3F3F3"/>
                              <w:vAlign w:val="center"/>
                              <w:hideMark/>
                            </w:tcPr>
                            <w:p w:rsidR="00371DAB" w:rsidRPr="00371DAB" w:rsidRDefault="00371DAB" w:rsidP="00371DAB">
                              <w:pPr>
                                <w:widowControl/>
                                <w:spacing w:line="252" w:lineRule="atLeast"/>
                                <w:jc w:val="center"/>
                                <w:rPr>
                                  <w:rFonts w:ascii="宋体" w:eastAsia="宋体" w:hAnsi="宋体" w:cs="宋体"/>
                                  <w:kern w:val="0"/>
                                  <w:sz w:val="18"/>
                                  <w:szCs w:val="18"/>
                                </w:rPr>
                              </w:pPr>
                              <w:r w:rsidRPr="00371DAB">
                                <w:rPr>
                                  <w:rFonts w:ascii="宋体" w:eastAsia="宋体" w:hAnsi="宋体" w:cs="宋体" w:hint="eastAsia"/>
                                  <w:kern w:val="0"/>
                                  <w:sz w:val="18"/>
                                  <w:szCs w:val="18"/>
                                </w:rPr>
                                <w:t>来源：区科技局　作者：　时间：2018-01-14</w:t>
                              </w:r>
                            </w:p>
                          </w:tc>
                        </w:tr>
                        <w:tr w:rsidR="00371DAB" w:rsidRPr="00371DAB">
                          <w:trPr>
                            <w:tblCellSpacing w:w="0" w:type="dxa"/>
                            <w:jc w:val="center"/>
                          </w:trPr>
                          <w:tc>
                            <w:tcPr>
                              <w:tcW w:w="0" w:type="auto"/>
                              <w:vAlign w:val="center"/>
                              <w:hideMark/>
                            </w:tcPr>
                            <w:p w:rsidR="00371DAB" w:rsidRPr="00371DAB" w:rsidRDefault="00371DAB" w:rsidP="00371DAB">
                              <w:pPr>
                                <w:widowControl/>
                                <w:spacing w:line="252" w:lineRule="atLeast"/>
                                <w:jc w:val="center"/>
                                <w:rPr>
                                  <w:rFonts w:ascii="宋体" w:eastAsia="宋体" w:hAnsi="宋体" w:cs="宋体" w:hint="eastAsia"/>
                                  <w:kern w:val="0"/>
                                  <w:sz w:val="18"/>
                                  <w:szCs w:val="18"/>
                                </w:rPr>
                              </w:pPr>
                            </w:p>
                          </w:tc>
                        </w:tr>
                      </w:tbl>
                      <w:p w:rsidR="00371DAB" w:rsidRPr="00371DAB" w:rsidRDefault="00371DAB" w:rsidP="00371DAB">
                        <w:pPr>
                          <w:widowControl/>
                          <w:spacing w:line="252" w:lineRule="atLeast"/>
                          <w:jc w:val="left"/>
                          <w:rPr>
                            <w:rFonts w:ascii="宋体" w:eastAsia="宋体" w:hAnsi="宋体" w:cs="Tahoma"/>
                            <w:kern w:val="0"/>
                            <w:sz w:val="18"/>
                            <w:szCs w:val="18"/>
                          </w:rPr>
                        </w:pPr>
                      </w:p>
                    </w:tc>
                  </w:tr>
                  <w:tr w:rsidR="00371DAB" w:rsidRPr="00371DAB" w:rsidTr="00371DAB">
                    <w:trPr>
                      <w:tblCellSpacing w:w="0" w:type="dxa"/>
                      <w:jc w:val="center"/>
                    </w:trPr>
                    <w:tc>
                      <w:tcPr>
                        <w:tcW w:w="0" w:type="auto"/>
                        <w:vAlign w:val="center"/>
                        <w:hideMark/>
                      </w:tcPr>
                      <w:p w:rsidR="00371DAB" w:rsidRPr="00371DAB" w:rsidRDefault="00371DAB" w:rsidP="00371DAB">
                        <w:pPr>
                          <w:widowControl/>
                          <w:spacing w:line="252" w:lineRule="atLeast"/>
                          <w:jc w:val="left"/>
                          <w:rPr>
                            <w:rFonts w:ascii="Times New Roman" w:eastAsia="Times New Roman" w:hAnsi="Times New Roman" w:cs="Times New Roman"/>
                            <w:kern w:val="0"/>
                            <w:sz w:val="20"/>
                            <w:szCs w:val="20"/>
                          </w:rPr>
                        </w:pPr>
                      </w:p>
                    </w:tc>
                  </w:tr>
                  <w:tr w:rsidR="00371DAB" w:rsidRPr="00371DAB" w:rsidTr="00371DAB">
                    <w:trPr>
                      <w:tblCellSpacing w:w="0" w:type="dxa"/>
                      <w:jc w:val="center"/>
                    </w:trPr>
                    <w:tc>
                      <w:tcPr>
                        <w:tcW w:w="0" w:type="auto"/>
                        <w:tcMar>
                          <w:top w:w="300" w:type="dxa"/>
                          <w:left w:w="0" w:type="dxa"/>
                          <w:bottom w:w="0" w:type="dxa"/>
                          <w:right w:w="0" w:type="dxa"/>
                        </w:tcMar>
                        <w:vAlign w:val="center"/>
                        <w:hideMark/>
                      </w:tcPr>
                      <w:p w:rsidR="00371DAB" w:rsidRPr="00371DAB" w:rsidRDefault="00371DAB" w:rsidP="00371DAB">
                        <w:pPr>
                          <w:widowControl/>
                          <w:spacing w:line="252" w:lineRule="atLeast"/>
                          <w:jc w:val="left"/>
                          <w:rPr>
                            <w:rFonts w:ascii="Times New Roman" w:eastAsia="Times New Roman" w:hAnsi="Times New Roman" w:cs="Times New Roman"/>
                            <w:kern w:val="0"/>
                            <w:sz w:val="20"/>
                            <w:szCs w:val="20"/>
                          </w:rPr>
                        </w:pPr>
                      </w:p>
                    </w:tc>
                  </w:tr>
                  <w:tr w:rsidR="00371DAB" w:rsidRPr="00371DAB" w:rsidTr="00371DAB">
                    <w:trPr>
                      <w:trHeight w:val="4000"/>
                      <w:tblCellSpacing w:w="0" w:type="dxa"/>
                      <w:jc w:val="center"/>
                    </w:trPr>
                    <w:tc>
                      <w:tcPr>
                        <w:tcW w:w="0" w:type="auto"/>
                        <w:tcMar>
                          <w:top w:w="75" w:type="dxa"/>
                          <w:left w:w="600" w:type="dxa"/>
                          <w:bottom w:w="300" w:type="dxa"/>
                          <w:right w:w="600" w:type="dxa"/>
                        </w:tcMar>
                        <w:hideMark/>
                      </w:tcPr>
                      <w:p w:rsidR="00371DAB" w:rsidRPr="00371DAB" w:rsidRDefault="00371DAB" w:rsidP="00371DAB">
                        <w:pPr>
                          <w:widowControl/>
                          <w:spacing w:before="100" w:beforeAutospacing="1" w:after="100" w:afterAutospacing="1" w:line="345" w:lineRule="atLeast"/>
                          <w:jc w:val="left"/>
                          <w:rPr>
                            <w:rFonts w:ascii="宋体" w:eastAsia="宋体" w:hAnsi="宋体" w:cs="Tahoma"/>
                            <w:kern w:val="0"/>
                            <w:szCs w:val="21"/>
                          </w:rPr>
                        </w:pPr>
                        <w:r w:rsidRPr="00371DAB">
                          <w:rPr>
                            <w:rFonts w:ascii="宋体" w:eastAsia="宋体" w:hAnsi="宋体" w:cs="Tahoma" w:hint="eastAsia"/>
                            <w:kern w:val="0"/>
                            <w:szCs w:val="21"/>
                          </w:rPr>
                          <w:t xml:space="preserve">　　为进一步实施创新驱动发展战略，完善科技创新体系，加快新旧动能转换,推动供给侧结构性改革,激发科技创新、创业潜力与活力，提高企业自主创新能力,引领产业转型升级，加快科技成果转化，助力科创中心建设，特制订本办法。</w:t>
                        </w:r>
                        <w:r w:rsidRPr="00371DAB">
                          <w:rPr>
                            <w:rFonts w:ascii="宋体" w:eastAsia="宋体" w:hAnsi="宋体" w:cs="Tahoma" w:hint="eastAsia"/>
                            <w:kern w:val="0"/>
                            <w:szCs w:val="21"/>
                          </w:rPr>
                          <w:br/>
                          <w:t xml:space="preserve">　　一、对创新载体（平台）的政策</w:t>
                        </w:r>
                        <w:r w:rsidRPr="00371DAB">
                          <w:rPr>
                            <w:rFonts w:ascii="宋体" w:eastAsia="宋体" w:hAnsi="宋体" w:cs="Tahoma" w:hint="eastAsia"/>
                            <w:kern w:val="0"/>
                            <w:szCs w:val="21"/>
                          </w:rPr>
                          <w:br/>
                          <w:t xml:space="preserve">　　第一条  支持各类科创载体建设。鼓励各街镇积极创建科创小镇等科创载体，制定发展规划。由街镇提出申请，区科技局组织专家根据其基础条件、运营水平、发展前景等因素进行综合评估，载体建成后经审核，给予申报成功的街镇最高300万元的奖励。</w:t>
                        </w:r>
                        <w:r w:rsidRPr="00371DAB">
                          <w:rPr>
                            <w:rFonts w:ascii="宋体" w:eastAsia="宋体" w:hAnsi="宋体" w:cs="Tahoma" w:hint="eastAsia"/>
                            <w:kern w:val="0"/>
                            <w:szCs w:val="21"/>
                          </w:rPr>
                          <w:br/>
                          <w:t xml:space="preserve">　　第二条  支持历城区科创（双创）平台建设。科创（双创）平台由高校、科研院所及驻区重点企业等单位提出申请申报市级以上双创平台，对申报市级以上双创平台落选的，区科技局组织专家根据其基础条件、运营水平、发展前景等因素进行综合评估后，择优给予申报主体最高100万元奖励。</w:t>
                        </w:r>
                        <w:r w:rsidRPr="00371DAB">
                          <w:rPr>
                            <w:rFonts w:ascii="宋体" w:eastAsia="宋体" w:hAnsi="宋体" w:cs="Tahoma" w:hint="eastAsia"/>
                            <w:kern w:val="0"/>
                            <w:szCs w:val="21"/>
                          </w:rPr>
                          <w:br/>
                          <w:t xml:space="preserve">　　第三条  对新认定、新引进的国家级、省级、市级科技园区、特色产业基地、孵化器、众创空间等机构新购置通用、基础性仪器设备等建立公共运营平台，按不超过30%的比例奖励，最高300万元。</w:t>
                        </w:r>
                        <w:r w:rsidRPr="00371DAB">
                          <w:rPr>
                            <w:rFonts w:ascii="宋体" w:eastAsia="宋体" w:hAnsi="宋体" w:cs="Tahoma" w:hint="eastAsia"/>
                            <w:kern w:val="0"/>
                            <w:szCs w:val="21"/>
                          </w:rPr>
                          <w:br/>
                          <w:t xml:space="preserve">　　第四条  入驻历城区科技孵化器且具有自主知识产权的孵化项目，经评审符合可转化条件的孵化项目最高奖励15万元；获市级以上科技计划立项的最高奖励30万元；从历城区科技孵化器出孵并在历城区落户产业化的企业，按其对历城区的经济与社会发展的贡献情况予以奖励，每年最高500万元，连续奖励三年。</w:t>
                        </w:r>
                        <w:r w:rsidRPr="00371DAB">
                          <w:rPr>
                            <w:rFonts w:ascii="宋体" w:eastAsia="宋体" w:hAnsi="宋体" w:cs="Tahoma" w:hint="eastAsia"/>
                            <w:kern w:val="0"/>
                            <w:szCs w:val="21"/>
                          </w:rPr>
                          <w:br/>
                          <w:t xml:space="preserve">　　第五条  加快科技开放发展步伐，提升历城区科技国际化水平。以历城区现有新能源、生物医药、智能制造、电子信息、现代农业等产业为依托，加快企业转型升级步伐，整合国内外先进技术和资源，对在海外建立孵化器的企业，经考核且孵化成果转化回国内，促进历城经济社会发展的，给予最高500万元奖励。</w:t>
                        </w:r>
                        <w:r w:rsidRPr="00371DAB">
                          <w:rPr>
                            <w:rFonts w:ascii="宋体" w:eastAsia="宋体" w:hAnsi="宋体" w:cs="Tahoma" w:hint="eastAsia"/>
                            <w:kern w:val="0"/>
                            <w:szCs w:val="21"/>
                          </w:rPr>
                          <w:br/>
                          <w:t xml:space="preserve">　　二、对科技招商的政策</w:t>
                        </w:r>
                        <w:r w:rsidRPr="00371DAB">
                          <w:rPr>
                            <w:rFonts w:ascii="宋体" w:eastAsia="宋体" w:hAnsi="宋体" w:cs="Tahoma" w:hint="eastAsia"/>
                            <w:kern w:val="0"/>
                            <w:szCs w:val="21"/>
                          </w:rPr>
                          <w:br/>
                          <w:t xml:space="preserve">　　第六条  国内外有影响力的著名高校、科研机构或500强企业在历城区设立研发或成果转移转化机构的，最高奖励500万元；国内知名高校、科研机构在历城区设立研发或成果转移转化机构的，最高奖励300万元；国内外知名企业在历城区设立研发或成果转移转化机构的，最高奖励100万元。</w:t>
                        </w:r>
                        <w:r w:rsidRPr="00371DAB">
                          <w:rPr>
                            <w:rFonts w:ascii="宋体" w:eastAsia="宋体" w:hAnsi="宋体" w:cs="Tahoma" w:hint="eastAsia"/>
                            <w:kern w:val="0"/>
                            <w:szCs w:val="21"/>
                          </w:rPr>
                          <w:br/>
                          <w:t xml:space="preserve">　　扶持技术转移服务机构，推动科技成果向历城区企业转化的，按其促成技术交易额的2%-5%给予技术转移服务机构奖励，单个机构年度奖励资金不超过50万元。</w:t>
                        </w:r>
                        <w:r w:rsidRPr="00371DAB">
                          <w:rPr>
                            <w:rFonts w:ascii="宋体" w:eastAsia="宋体" w:hAnsi="宋体" w:cs="Tahoma" w:hint="eastAsia"/>
                            <w:kern w:val="0"/>
                            <w:szCs w:val="21"/>
                          </w:rPr>
                          <w:br/>
                          <w:t xml:space="preserve">　　第七条  加快新旧动能转换，构建科技协同创新体系。经评审符合条件的项目实施主体，按技术交易额或项目合同实际到账金额的10%予以奖励，最高300万元。</w:t>
                        </w:r>
                        <w:r w:rsidRPr="00371DAB">
                          <w:rPr>
                            <w:rFonts w:ascii="宋体" w:eastAsia="宋体" w:hAnsi="宋体" w:cs="Tahoma" w:hint="eastAsia"/>
                            <w:kern w:val="0"/>
                            <w:szCs w:val="21"/>
                          </w:rPr>
                          <w:br/>
                          <w:t xml:space="preserve">　　鼓励企业申请认定高新技术企业，对首次认定的高新技术企业予以最高30万元奖励。对通过重新认定的高新技术企业，给予企业最高50万元奖励。帮助企业拓展自主创新产品市场，对企业参加由历城区组织或经批准后自行参加的科技创新接洽活动予以展位费50%的奖励。</w:t>
                        </w:r>
                        <w:r w:rsidRPr="00371DAB">
                          <w:rPr>
                            <w:rFonts w:ascii="宋体" w:eastAsia="宋体" w:hAnsi="宋体" w:cs="Tahoma" w:hint="eastAsia"/>
                            <w:kern w:val="0"/>
                            <w:szCs w:val="21"/>
                          </w:rPr>
                          <w:br/>
                          <w:t xml:space="preserve">　　三、对人才的政策</w:t>
                        </w:r>
                        <w:r w:rsidRPr="00371DAB">
                          <w:rPr>
                            <w:rFonts w:ascii="宋体" w:eastAsia="宋体" w:hAnsi="宋体" w:cs="Tahoma" w:hint="eastAsia"/>
                            <w:kern w:val="0"/>
                            <w:szCs w:val="21"/>
                          </w:rPr>
                          <w:br/>
                          <w:t xml:space="preserve">　　第八条  有关人才奖补政策按照区委区政府《关于对区重点产业进行人才扶持的意见（试行）》执行。对符合相关申请条件的积极协助其申请国家、省、市、区级相关人才优惠政策。</w:t>
                        </w:r>
                        <w:r w:rsidRPr="00371DAB">
                          <w:rPr>
                            <w:rFonts w:ascii="宋体" w:eastAsia="宋体" w:hAnsi="宋体" w:cs="Tahoma" w:hint="eastAsia"/>
                            <w:kern w:val="0"/>
                            <w:szCs w:val="21"/>
                          </w:rPr>
                          <w:br/>
                          <w:t xml:space="preserve">　　四、对促进产学研合作及成果转化的政策</w:t>
                        </w:r>
                        <w:r w:rsidRPr="00371DAB">
                          <w:rPr>
                            <w:rFonts w:ascii="宋体" w:eastAsia="宋体" w:hAnsi="宋体" w:cs="Tahoma" w:hint="eastAsia"/>
                            <w:kern w:val="0"/>
                            <w:szCs w:val="21"/>
                          </w:rPr>
                          <w:br/>
                          <w:t xml:space="preserve">　　第九条  鼓励开展产学研合作和实施科技成果转化，扶持驻区高校、科研院所、国家级科技成果推广平台转化科技成果。每年对在历城区实施的产学研合作及高校和科研院所的科技成果转化项目，参照其投资规模、技术转让费金额、项目科技含量、实现的社会经济效益等情况，择优给予最高100万元资金奖励。</w:t>
                        </w:r>
                        <w:r w:rsidRPr="00371DAB">
                          <w:rPr>
                            <w:rFonts w:ascii="宋体" w:eastAsia="宋体" w:hAnsi="宋体" w:cs="Tahoma" w:hint="eastAsia"/>
                            <w:kern w:val="0"/>
                            <w:szCs w:val="21"/>
                          </w:rPr>
                          <w:br/>
                          <w:t xml:space="preserve">　　第十条  鼓励企业创新。企业当年获得国家、省（部）科技进步及发明一、二、三等奖的，最高分别按照国家级200万元、100万元、60万元；</w:t>
                        </w:r>
                        <w:r w:rsidRPr="00371DAB">
                          <w:rPr>
                            <w:rFonts w:ascii="宋体" w:eastAsia="宋体" w:hAnsi="宋体" w:cs="Tahoma" w:hint="eastAsia"/>
                            <w:kern w:val="0"/>
                            <w:szCs w:val="21"/>
                          </w:rPr>
                          <w:lastRenderedPageBreak/>
                          <w:t>省（部）级100万元、50万元、10万元的标准，给予奖励，企业同时获得两种及其以上奖项的，选择最高等次的一项给予奖励。</w:t>
                        </w:r>
                        <w:r w:rsidRPr="00371DAB">
                          <w:rPr>
                            <w:rFonts w:ascii="宋体" w:eastAsia="宋体" w:hAnsi="宋体" w:cs="Tahoma" w:hint="eastAsia"/>
                            <w:kern w:val="0"/>
                            <w:szCs w:val="21"/>
                          </w:rPr>
                          <w:br/>
                          <w:t xml:space="preserve">　　企业在国家重点支持的高新技术领域主导制定出台国际标准、国家标准，每项最高分别奖励100万元、50万元；企业独立或牵头承担国家重大科技专项、重点研发计划项目，按年度到位资金的10%予以奖励，最高累计不超过100万元。对首次研发、生产、销售或使用国内首套或替代国外进口重大设备的企业予以最高300万元奖励。</w:t>
                        </w:r>
                        <w:r w:rsidRPr="00371DAB">
                          <w:rPr>
                            <w:rFonts w:ascii="宋体" w:eastAsia="宋体" w:hAnsi="宋体" w:cs="Tahoma" w:hint="eastAsia"/>
                            <w:kern w:val="0"/>
                            <w:szCs w:val="21"/>
                          </w:rPr>
                          <w:br/>
                          <w:t xml:space="preserve">　　第十一条  鼓励辖区内创新主体加大科技投入力度，推动新旧动能转换。年销售收入3000万元（含）以下，企业研发投入占销售收入比重超过5%以上的部分，每年按实际支出的20%予以奖励，当年最高奖励100万元；年销售收入3000万元-2亿元(含)，企业研发投入占销售收入比重超过4%以上的部分，每年按实际支出的10%予以奖励，当年最高奖励200万元。</w:t>
                        </w:r>
                        <w:r w:rsidRPr="00371DAB">
                          <w:rPr>
                            <w:rFonts w:ascii="宋体" w:eastAsia="宋体" w:hAnsi="宋体" w:cs="Tahoma" w:hint="eastAsia"/>
                            <w:kern w:val="0"/>
                            <w:szCs w:val="21"/>
                          </w:rPr>
                          <w:br/>
                          <w:t xml:space="preserve">　　第十二条  支持企业引进吸纳科技成果，年度技术合同交易额累计10万元以上的，按技术合同交易额的10%给予奖励，单个企业年度奖励不超过100万元。</w:t>
                        </w:r>
                        <w:r w:rsidRPr="00371DAB">
                          <w:rPr>
                            <w:rFonts w:ascii="宋体" w:eastAsia="宋体" w:hAnsi="宋体" w:cs="Tahoma" w:hint="eastAsia"/>
                            <w:kern w:val="0"/>
                            <w:szCs w:val="21"/>
                          </w:rPr>
                          <w:br/>
                          <w:t xml:space="preserve">　　五、对知识产权保护的政策</w:t>
                        </w:r>
                        <w:r w:rsidRPr="00371DAB">
                          <w:rPr>
                            <w:rFonts w:ascii="宋体" w:eastAsia="宋体" w:hAnsi="宋体" w:cs="Tahoma" w:hint="eastAsia"/>
                            <w:kern w:val="0"/>
                            <w:szCs w:val="21"/>
                          </w:rPr>
                          <w:br/>
                          <w:t xml:space="preserve">　　第十三条  支持企业“走出去”，对企业在境外并购与自身主营业务发展相关的国外研发机构、取得绝对控股地位并获得有效发明专利、软件著作权的，按照收购合同的实际支付金额的10%予以奖励，最高不超过500万元。</w:t>
                        </w:r>
                        <w:r w:rsidRPr="00371DAB">
                          <w:rPr>
                            <w:rFonts w:ascii="宋体" w:eastAsia="宋体" w:hAnsi="宋体" w:cs="Tahoma" w:hint="eastAsia"/>
                            <w:kern w:val="0"/>
                            <w:szCs w:val="21"/>
                          </w:rPr>
                          <w:br/>
                          <w:t xml:space="preserve">　　第十四条  营造良好的知识产权保护环境。对于被侵权的单位、个人，给予律师费、诉讼费、受理费、取证鉴证费、无效宣告请求费等法律服务费10%-50%的贴补，每件案件最高50万元。</w:t>
                        </w:r>
                        <w:r w:rsidRPr="00371DAB">
                          <w:rPr>
                            <w:rFonts w:ascii="宋体" w:eastAsia="宋体" w:hAnsi="宋体" w:cs="Tahoma" w:hint="eastAsia"/>
                            <w:kern w:val="0"/>
                            <w:szCs w:val="21"/>
                          </w:rPr>
                          <w:br/>
                          <w:t xml:space="preserve">　　第十五条  加强知识产权保护和服务，促进企业创造知识产权,推进知识产权工作国际化。对获得中国专利金奖或中国外观设计金奖的企业，分别给予最高100万元、20万元奖励;企业当年获得发明专利授权量达10件、20件、30件及以上的，分别给予一次性5万元、10万元、30万元的奖励。对当年新确定为国家知识产权示范企业的给予最高30 万元奖励，对当年新确定为国家知识产权优势企业的给予最高20万元奖励，对当年新通过国家知识产权管理规范标准认证的企事业单位给予最高10万元奖励。鼓励企业通过PCT或巴黎公约途径申请海外专利进行技术保护，授权的国外发明专利，每件每个国家3万元，最多按5个国家予以奖励。企事业单位年度PCT专利申请超过5件的，在以上资助的基础上给予奖励，达到5-10件的奖励10万元，11-20件的奖励20万元，20件以上的奖励30万元。对单个单位或个人最高奖励80万元。</w:t>
                        </w:r>
                        <w:r w:rsidRPr="00371DAB">
                          <w:rPr>
                            <w:rFonts w:ascii="宋体" w:eastAsia="宋体" w:hAnsi="宋体" w:cs="Tahoma" w:hint="eastAsia"/>
                            <w:kern w:val="0"/>
                            <w:szCs w:val="21"/>
                          </w:rPr>
                          <w:br/>
                          <w:t xml:space="preserve">　　对被确定为济南市重点领域关键核心技术专利项目,给予最高20万元/项奖励。</w:t>
                        </w:r>
                        <w:r w:rsidRPr="00371DAB">
                          <w:rPr>
                            <w:rFonts w:ascii="宋体" w:eastAsia="宋体" w:hAnsi="宋体" w:cs="Tahoma" w:hint="eastAsia"/>
                            <w:kern w:val="0"/>
                            <w:szCs w:val="21"/>
                          </w:rPr>
                          <w:br/>
                          <w:t xml:space="preserve">　　对申请马德里商标国际注册的企业，每件商标指定一个国家奖励企业5000元；申请逐一国家和地区（含港、澳、台）商标注册，每成功注册一件商标奖励企业5000元；当年每个企业最高奖励5万元。对新获行政认定中国驰名商标的企业，给予最高50万元奖励。对新获得“山东名牌”、“济南名牌”的企业，分别给予20万元、10万元奖励。</w:t>
                        </w:r>
                        <w:r w:rsidRPr="00371DAB">
                          <w:rPr>
                            <w:rFonts w:ascii="宋体" w:eastAsia="宋体" w:hAnsi="宋体" w:cs="Tahoma" w:hint="eastAsia"/>
                            <w:kern w:val="0"/>
                            <w:szCs w:val="21"/>
                          </w:rPr>
                          <w:br/>
                          <w:t xml:space="preserve">　　鼓励专利集中的优势产业建立知识产权联盟，为产业创新创业提供专业化知识产权服务，深化产业专利协同运用，为创新创业者提供技术支撑，对牵头单位给予最高30万元的一次性奖励。</w:t>
                        </w:r>
                        <w:r w:rsidRPr="00371DAB">
                          <w:rPr>
                            <w:rFonts w:ascii="宋体" w:eastAsia="宋体" w:hAnsi="宋体" w:cs="Tahoma" w:hint="eastAsia"/>
                            <w:kern w:val="0"/>
                            <w:szCs w:val="21"/>
                          </w:rPr>
                          <w:br/>
                          <w:t xml:space="preserve">　　第十六条  对获得省小微企业知识产权质押融资项目贴补资金的，给予与省级利息贴息部分等额的资金奖励。对符合条件的单笔贷款，按银行同期贷款基准利率的60%予以贴息奖励，一个年度最高不超过20万。对未按规定归还的逾期贷款利息、加息和罚息，不予贴息。贴息期限最长为2年，同一家企业享受贴息最多不超过3次。企业因贷款而产生的专利评估、价值分析费不再奖励。</w:t>
                        </w:r>
                        <w:r w:rsidRPr="00371DAB">
                          <w:rPr>
                            <w:rFonts w:ascii="宋体" w:eastAsia="宋体" w:hAnsi="宋体" w:cs="Tahoma" w:hint="eastAsia"/>
                            <w:kern w:val="0"/>
                            <w:szCs w:val="21"/>
                          </w:rPr>
                          <w:br/>
                          <w:t xml:space="preserve">　　第十七条  优化科技服务平台。对科技服务中介、知识产权代理、事务所等科技服务机构择优给予该机构上年度用于历城区科技服务工作运营成本的20%最高20万元奖励。</w:t>
                        </w:r>
                        <w:r w:rsidRPr="00371DAB">
                          <w:rPr>
                            <w:rFonts w:ascii="宋体" w:eastAsia="宋体" w:hAnsi="宋体" w:cs="Tahoma" w:hint="eastAsia"/>
                            <w:kern w:val="0"/>
                            <w:szCs w:val="21"/>
                          </w:rPr>
                          <w:br/>
                          <w:t xml:space="preserve">　　加大专利技术转移转化扶持力度，搭建知识产权运营平台，加快培育专利技术转移转化服务机构，重点支持高校、科研院所和企业核心知识产权专利技术在历城区转移转化。对新认定国家专利运营试点的服务机构给予最高20万元奖励。</w:t>
                        </w:r>
                        <w:r w:rsidRPr="00371DAB">
                          <w:rPr>
                            <w:rFonts w:ascii="宋体" w:eastAsia="宋体" w:hAnsi="宋体" w:cs="Tahoma" w:hint="eastAsia"/>
                            <w:kern w:val="0"/>
                            <w:szCs w:val="21"/>
                          </w:rPr>
                          <w:br/>
                          <w:t xml:space="preserve">　　六、其他</w:t>
                        </w:r>
                        <w:r w:rsidRPr="00371DAB">
                          <w:rPr>
                            <w:rFonts w:ascii="宋体" w:eastAsia="宋体" w:hAnsi="宋体" w:cs="Tahoma" w:hint="eastAsia"/>
                            <w:kern w:val="0"/>
                            <w:szCs w:val="21"/>
                          </w:rPr>
                          <w:br/>
                          <w:t xml:space="preserve">　　第十八条  以上条款由区科技局及市场监管局制定实施细则。每项支出以创新券的形式发放，(创新券分为企业项目类、平台类、奖补类)，经区创新券管理委员会和专家评审后，提交区政府常务会研究，通过后按有关规定发放。</w:t>
                        </w:r>
                        <w:r w:rsidRPr="00371DAB">
                          <w:rPr>
                            <w:rFonts w:ascii="宋体" w:eastAsia="宋体" w:hAnsi="宋体" w:cs="Tahoma" w:hint="eastAsia"/>
                            <w:kern w:val="0"/>
                            <w:szCs w:val="21"/>
                          </w:rPr>
                          <w:br/>
                          <w:t xml:space="preserve">　　第十九条  引进国内外知名科研院所或建设科创中心涉及到的重大事项，经区政府批准，采用一事一议的方式给予重点扶持。</w:t>
                        </w:r>
                        <w:r w:rsidRPr="00371DAB">
                          <w:rPr>
                            <w:rFonts w:ascii="宋体" w:eastAsia="宋体" w:hAnsi="宋体" w:cs="Tahoma" w:hint="eastAsia"/>
                            <w:kern w:val="0"/>
                            <w:szCs w:val="21"/>
                          </w:rPr>
                          <w:br/>
                          <w:t xml:space="preserve">　　七、附则</w:t>
                        </w:r>
                        <w:r w:rsidRPr="00371DAB">
                          <w:rPr>
                            <w:rFonts w:ascii="宋体" w:eastAsia="宋体" w:hAnsi="宋体" w:cs="Tahoma" w:hint="eastAsia"/>
                            <w:kern w:val="0"/>
                            <w:szCs w:val="21"/>
                          </w:rPr>
                          <w:br/>
                          <w:t xml:space="preserve">　　第二十条  本办法适用于历城区内的机关、团体、企事业单位，以及在历城区申报的个人。</w:t>
                        </w:r>
                        <w:r w:rsidRPr="00371DAB">
                          <w:rPr>
                            <w:rFonts w:ascii="宋体" w:eastAsia="宋体" w:hAnsi="宋体" w:cs="Tahoma" w:hint="eastAsia"/>
                            <w:kern w:val="0"/>
                            <w:szCs w:val="21"/>
                          </w:rPr>
                          <w:br/>
                        </w:r>
                        <w:r w:rsidRPr="00371DAB">
                          <w:rPr>
                            <w:rFonts w:ascii="宋体" w:eastAsia="宋体" w:hAnsi="宋体" w:cs="Tahoma" w:hint="eastAsia"/>
                            <w:kern w:val="0"/>
                            <w:szCs w:val="21"/>
                          </w:rPr>
                          <w:lastRenderedPageBreak/>
                          <w:t xml:space="preserve">　　第二十一条  成立科创中心建设工作领导小组，区政府分管领导任组长，常驻成员单位主要负责人任成员，办公室设在区科技局，区科技局主要负责人任办公室主任。（常驻成员单位：组织部、监察局、发改委、经信（商务）局、科技局、财政局、人社局、审计局、市场监管局、投资促进服务中心、金融办、法制办，每次根据涉及的议题可邀请其他相关部门参与讨论并形成意见后上报区政府研究审定）。</w:t>
                        </w:r>
                        <w:r w:rsidRPr="00371DAB">
                          <w:rPr>
                            <w:rFonts w:ascii="宋体" w:eastAsia="宋体" w:hAnsi="宋体" w:cs="Tahoma" w:hint="eastAsia"/>
                            <w:kern w:val="0"/>
                            <w:szCs w:val="21"/>
                          </w:rPr>
                          <w:br/>
                          <w:t xml:space="preserve">　　第二十二条  本办法自2018年2月15日至2020年2月14日施行。</w:t>
                        </w:r>
                        <w:r w:rsidRPr="00371DAB">
                          <w:rPr>
                            <w:rFonts w:ascii="宋体" w:eastAsia="宋体" w:hAnsi="宋体" w:cs="Tahoma" w:hint="eastAsia"/>
                            <w:kern w:val="0"/>
                            <w:szCs w:val="21"/>
                          </w:rPr>
                          <w:br/>
                          <w:t xml:space="preserve">　　</w:t>
                        </w:r>
                      </w:p>
                    </w:tc>
                  </w:tr>
                  <w:tr w:rsidR="00371DAB" w:rsidRPr="00371DAB" w:rsidTr="00371DAB">
                    <w:trPr>
                      <w:tblCellSpacing w:w="0" w:type="dxa"/>
                      <w:jc w:val="center"/>
                    </w:trPr>
                    <w:tc>
                      <w:tcPr>
                        <w:tcW w:w="0" w:type="auto"/>
                        <w:vAlign w:val="center"/>
                        <w:hideMark/>
                      </w:tcPr>
                      <w:tbl>
                        <w:tblPr>
                          <w:tblW w:w="5000" w:type="pct"/>
                          <w:jc w:val="right"/>
                          <w:tblCellSpacing w:w="5" w:type="dxa"/>
                          <w:tblCellMar>
                            <w:top w:w="30" w:type="dxa"/>
                            <w:left w:w="30" w:type="dxa"/>
                            <w:bottom w:w="30" w:type="dxa"/>
                            <w:right w:w="30" w:type="dxa"/>
                          </w:tblCellMar>
                          <w:tblLook w:val="04A0" w:firstRow="1" w:lastRow="0" w:firstColumn="1" w:lastColumn="0" w:noHBand="0" w:noVBand="1"/>
                        </w:tblPr>
                        <w:tblGrid>
                          <w:gridCol w:w="10489"/>
                          <w:gridCol w:w="1810"/>
                          <w:gridCol w:w="2715"/>
                        </w:tblGrid>
                        <w:tr w:rsidR="00371DAB" w:rsidRPr="00371DAB">
                          <w:trPr>
                            <w:tblCellSpacing w:w="5" w:type="dxa"/>
                            <w:jc w:val="right"/>
                          </w:trPr>
                          <w:tc>
                            <w:tcPr>
                              <w:tcW w:w="0" w:type="auto"/>
                              <w:vAlign w:val="center"/>
                              <w:hideMark/>
                            </w:tcPr>
                            <w:p w:rsidR="00371DAB" w:rsidRPr="00371DAB" w:rsidRDefault="00371DAB" w:rsidP="00371DAB">
                              <w:pPr>
                                <w:widowControl/>
                                <w:spacing w:line="252" w:lineRule="atLeast"/>
                                <w:jc w:val="left"/>
                                <w:rPr>
                                  <w:rFonts w:ascii="宋体" w:eastAsia="宋体" w:hAnsi="宋体" w:cs="Tahoma" w:hint="eastAsia"/>
                                  <w:kern w:val="0"/>
                                  <w:sz w:val="18"/>
                                  <w:szCs w:val="18"/>
                                </w:rPr>
                              </w:pPr>
                              <w:r w:rsidRPr="00371DAB">
                                <w:rPr>
                                  <w:rFonts w:ascii="宋体" w:eastAsia="宋体" w:hAnsi="宋体" w:cs="Tahoma" w:hint="eastAsia"/>
                                  <w:kern w:val="0"/>
                                  <w:sz w:val="18"/>
                                  <w:szCs w:val="18"/>
                                </w:rPr>
                                <w:lastRenderedPageBreak/>
                                <w:t> </w:t>
                              </w:r>
                            </w:p>
                          </w:tc>
                          <w:tc>
                            <w:tcPr>
                              <w:tcW w:w="1800" w:type="dxa"/>
                              <w:vAlign w:val="center"/>
                              <w:hideMark/>
                            </w:tcPr>
                            <w:p w:rsidR="00371DAB" w:rsidRPr="00371DAB" w:rsidRDefault="00371DAB" w:rsidP="00371DAB">
                              <w:pPr>
                                <w:widowControl/>
                                <w:spacing w:line="252" w:lineRule="atLeast"/>
                                <w:jc w:val="right"/>
                                <w:rPr>
                                  <w:rFonts w:ascii="宋体" w:eastAsia="宋体" w:hAnsi="宋体" w:cs="Tahoma" w:hint="eastAsia"/>
                                  <w:kern w:val="0"/>
                                  <w:sz w:val="18"/>
                                  <w:szCs w:val="18"/>
                                </w:rPr>
                              </w:pPr>
                              <w:r w:rsidRPr="00371DAB">
                                <w:rPr>
                                  <w:rFonts w:ascii="宋体" w:eastAsia="宋体" w:hAnsi="宋体" w:cs="Tahoma" w:hint="eastAsia"/>
                                  <w:kern w:val="0"/>
                                  <w:sz w:val="18"/>
                                  <w:szCs w:val="18"/>
                                </w:rPr>
                                <w:t>浏览次数：33</w:t>
                              </w:r>
                            </w:p>
                          </w:tc>
                          <w:tc>
                            <w:tcPr>
                              <w:tcW w:w="2700" w:type="dxa"/>
                              <w:vAlign w:val="center"/>
                              <w:hideMark/>
                            </w:tcPr>
                            <w:p w:rsidR="00371DAB" w:rsidRPr="00371DAB" w:rsidRDefault="00371DAB" w:rsidP="00371DAB">
                              <w:pPr>
                                <w:widowControl/>
                                <w:spacing w:line="252" w:lineRule="atLeast"/>
                                <w:jc w:val="right"/>
                                <w:rPr>
                                  <w:rFonts w:ascii="宋体" w:eastAsia="宋体" w:hAnsi="宋体" w:cs="Tahoma" w:hint="eastAsia"/>
                                  <w:kern w:val="0"/>
                                  <w:sz w:val="18"/>
                                  <w:szCs w:val="18"/>
                                </w:rPr>
                              </w:pPr>
                            </w:p>
                          </w:tc>
                        </w:tr>
                      </w:tbl>
                      <w:p w:rsidR="00371DAB" w:rsidRPr="00371DAB" w:rsidRDefault="00371DAB" w:rsidP="00371DAB">
                        <w:pPr>
                          <w:widowControl/>
                          <w:spacing w:line="252" w:lineRule="atLeast"/>
                          <w:jc w:val="right"/>
                          <w:rPr>
                            <w:rFonts w:ascii="宋体" w:eastAsia="宋体" w:hAnsi="宋体" w:cs="Tahoma"/>
                            <w:kern w:val="0"/>
                            <w:sz w:val="18"/>
                            <w:szCs w:val="18"/>
                          </w:rPr>
                        </w:pPr>
                      </w:p>
                    </w:tc>
                  </w:tr>
                  <w:tr w:rsidR="00371DAB" w:rsidRPr="00371DAB" w:rsidTr="00371DAB">
                    <w:trPr>
                      <w:trHeight w:val="300"/>
                      <w:tblCellSpacing w:w="0" w:type="dxa"/>
                      <w:jc w:val="center"/>
                    </w:trPr>
                    <w:tc>
                      <w:tcPr>
                        <w:tcW w:w="0" w:type="auto"/>
                        <w:vAlign w:val="center"/>
                        <w:hideMark/>
                      </w:tcPr>
                      <w:p w:rsidR="00371DAB" w:rsidRPr="00371DAB" w:rsidRDefault="00371DAB" w:rsidP="00371DAB">
                        <w:pPr>
                          <w:widowControl/>
                          <w:spacing w:line="252" w:lineRule="atLeast"/>
                          <w:jc w:val="right"/>
                          <w:rPr>
                            <w:rFonts w:ascii="宋体" w:eastAsia="宋体" w:hAnsi="宋体" w:cs="Tahoma"/>
                            <w:kern w:val="0"/>
                            <w:sz w:val="18"/>
                            <w:szCs w:val="18"/>
                          </w:rPr>
                        </w:pPr>
                        <w:r w:rsidRPr="00371DAB">
                          <w:rPr>
                            <w:rFonts w:ascii="宋体" w:eastAsia="宋体" w:hAnsi="宋体" w:cs="Tahoma" w:hint="eastAsia"/>
                            <w:kern w:val="0"/>
                            <w:sz w:val="18"/>
                            <w:szCs w:val="18"/>
                          </w:rPr>
                          <w:t>【</w:t>
                        </w:r>
                        <w:hyperlink r:id="rId4" w:history="1">
                          <w:r w:rsidRPr="00371DAB">
                            <w:rPr>
                              <w:rFonts w:ascii="宋体" w:eastAsia="宋体" w:hAnsi="宋体" w:cs="Tahoma" w:hint="eastAsia"/>
                              <w:color w:val="000000"/>
                              <w:kern w:val="0"/>
                              <w:sz w:val="18"/>
                              <w:szCs w:val="18"/>
                            </w:rPr>
                            <w:t>大</w:t>
                          </w:r>
                        </w:hyperlink>
                        <w:r w:rsidRPr="00371DAB">
                          <w:rPr>
                            <w:rFonts w:ascii="宋体" w:eastAsia="宋体" w:hAnsi="宋体" w:cs="Tahoma" w:hint="eastAsia"/>
                            <w:kern w:val="0"/>
                            <w:sz w:val="18"/>
                            <w:szCs w:val="18"/>
                          </w:rPr>
                          <w:t> </w:t>
                        </w:r>
                        <w:hyperlink r:id="rId5" w:history="1">
                          <w:r w:rsidRPr="00371DAB">
                            <w:rPr>
                              <w:rFonts w:ascii="宋体" w:eastAsia="宋体" w:hAnsi="宋体" w:cs="Tahoma" w:hint="eastAsia"/>
                              <w:color w:val="000000"/>
                              <w:kern w:val="0"/>
                              <w:sz w:val="18"/>
                              <w:szCs w:val="18"/>
                            </w:rPr>
                            <w:t>中</w:t>
                          </w:r>
                        </w:hyperlink>
                        <w:r w:rsidRPr="00371DAB">
                          <w:rPr>
                            <w:rFonts w:ascii="宋体" w:eastAsia="宋体" w:hAnsi="宋体" w:cs="Tahoma" w:hint="eastAsia"/>
                            <w:kern w:val="0"/>
                            <w:sz w:val="18"/>
                            <w:szCs w:val="18"/>
                          </w:rPr>
                          <w:t> </w:t>
                        </w:r>
                        <w:hyperlink r:id="rId6" w:history="1">
                          <w:r w:rsidRPr="00371DAB">
                            <w:rPr>
                              <w:rFonts w:ascii="宋体" w:eastAsia="宋体" w:hAnsi="宋体" w:cs="Tahoma" w:hint="eastAsia"/>
                              <w:color w:val="000000"/>
                              <w:kern w:val="0"/>
                              <w:sz w:val="18"/>
                              <w:szCs w:val="18"/>
                            </w:rPr>
                            <w:t>小</w:t>
                          </w:r>
                        </w:hyperlink>
                        <w:r w:rsidRPr="00371DAB">
                          <w:rPr>
                            <w:rFonts w:ascii="宋体" w:eastAsia="宋体" w:hAnsi="宋体" w:cs="Tahoma" w:hint="eastAsia"/>
                            <w:kern w:val="0"/>
                            <w:sz w:val="18"/>
                            <w:szCs w:val="18"/>
                          </w:rPr>
                          <w:t>】【</w:t>
                        </w:r>
                        <w:hyperlink r:id="rId7" w:history="1">
                          <w:r w:rsidRPr="00371DAB">
                            <w:rPr>
                              <w:rFonts w:ascii="宋体" w:eastAsia="宋体" w:hAnsi="宋体" w:cs="Tahoma" w:hint="eastAsia"/>
                              <w:color w:val="000000"/>
                              <w:kern w:val="0"/>
                              <w:sz w:val="18"/>
                              <w:szCs w:val="18"/>
                            </w:rPr>
                            <w:t>打印</w:t>
                          </w:r>
                        </w:hyperlink>
                        <w:r w:rsidRPr="00371DAB">
                          <w:rPr>
                            <w:rFonts w:ascii="宋体" w:eastAsia="宋体" w:hAnsi="宋体" w:cs="Tahoma" w:hint="eastAsia"/>
                            <w:kern w:val="0"/>
                            <w:sz w:val="18"/>
                            <w:szCs w:val="18"/>
                          </w:rPr>
                          <w:t>】【</w:t>
                        </w:r>
                        <w:hyperlink r:id="rId8" w:history="1">
                          <w:r w:rsidRPr="00371DAB">
                            <w:rPr>
                              <w:rFonts w:ascii="宋体" w:eastAsia="宋体" w:hAnsi="宋体" w:cs="Tahoma" w:hint="eastAsia"/>
                              <w:color w:val="000000"/>
                              <w:kern w:val="0"/>
                              <w:sz w:val="18"/>
                              <w:szCs w:val="18"/>
                            </w:rPr>
                            <w:t>关闭</w:t>
                          </w:r>
                        </w:hyperlink>
                        <w:r w:rsidRPr="00371DAB">
                          <w:rPr>
                            <w:rFonts w:ascii="宋体" w:eastAsia="宋体" w:hAnsi="宋体" w:cs="Tahoma" w:hint="eastAsia"/>
                            <w:kern w:val="0"/>
                            <w:sz w:val="18"/>
                            <w:szCs w:val="18"/>
                          </w:rPr>
                          <w:t>】</w:t>
                        </w:r>
                      </w:p>
                    </w:tc>
                  </w:tr>
                  <w:tr w:rsidR="00371DAB" w:rsidRPr="00371DAB" w:rsidTr="00371DAB">
                    <w:trPr>
                      <w:tblCellSpacing w:w="0" w:type="dxa"/>
                      <w:jc w:val="center"/>
                    </w:trPr>
                    <w:tc>
                      <w:tcPr>
                        <w:tcW w:w="0" w:type="auto"/>
                        <w:vAlign w:val="center"/>
                        <w:hideMark/>
                      </w:tcPr>
                      <w:p w:rsidR="00371DAB" w:rsidRPr="00371DAB" w:rsidRDefault="00371DAB" w:rsidP="00371DAB">
                        <w:pPr>
                          <w:widowControl/>
                          <w:spacing w:line="252" w:lineRule="atLeast"/>
                          <w:jc w:val="left"/>
                          <w:rPr>
                            <w:rFonts w:ascii="宋体" w:eastAsia="宋体" w:hAnsi="宋体" w:cs="Tahoma" w:hint="eastAsia"/>
                            <w:kern w:val="0"/>
                            <w:sz w:val="18"/>
                            <w:szCs w:val="18"/>
                          </w:rPr>
                        </w:pPr>
                        <w:r w:rsidRPr="00371DAB">
                          <w:rPr>
                            <w:rFonts w:ascii="宋体" w:eastAsia="宋体" w:hAnsi="宋体" w:cs="Tahoma" w:hint="eastAsia"/>
                            <w:kern w:val="0"/>
                            <w:sz w:val="18"/>
                            <w:szCs w:val="18"/>
                          </w:rPr>
                          <w:t> </w:t>
                        </w:r>
                      </w:p>
                    </w:tc>
                  </w:tr>
                  <w:tr w:rsidR="00371DAB" w:rsidRPr="00371DAB" w:rsidTr="00371DAB">
                    <w:trPr>
                      <w:tblCellSpacing w:w="0" w:type="dxa"/>
                      <w:jc w:val="center"/>
                    </w:trPr>
                    <w:tc>
                      <w:tcPr>
                        <w:tcW w:w="0" w:type="auto"/>
                        <w:vAlign w:val="center"/>
                        <w:hideMark/>
                      </w:tcPr>
                      <w:p w:rsidR="00371DAB" w:rsidRPr="00371DAB" w:rsidRDefault="00371DAB" w:rsidP="00371DAB">
                        <w:pPr>
                          <w:widowControl/>
                          <w:spacing w:line="252" w:lineRule="atLeast"/>
                          <w:jc w:val="left"/>
                          <w:rPr>
                            <w:rFonts w:ascii="宋体" w:eastAsia="宋体" w:hAnsi="宋体" w:cs="Tahoma" w:hint="eastAsia"/>
                            <w:kern w:val="0"/>
                            <w:sz w:val="18"/>
                            <w:szCs w:val="18"/>
                          </w:rPr>
                        </w:pPr>
                      </w:p>
                    </w:tc>
                  </w:tr>
                </w:tbl>
                <w:p w:rsidR="00371DAB" w:rsidRPr="00371DAB" w:rsidRDefault="00371DAB" w:rsidP="00371DAB">
                  <w:pPr>
                    <w:widowControl/>
                    <w:spacing w:line="252" w:lineRule="atLeast"/>
                    <w:jc w:val="left"/>
                    <w:rPr>
                      <w:rFonts w:ascii="宋体" w:eastAsia="宋体" w:hAnsi="宋体" w:cs="宋体"/>
                      <w:kern w:val="0"/>
                      <w:sz w:val="18"/>
                      <w:szCs w:val="18"/>
                    </w:rPr>
                  </w:pPr>
                </w:p>
              </w:tc>
            </w:tr>
          </w:tbl>
          <w:p w:rsidR="00371DAB" w:rsidRPr="00371DAB" w:rsidRDefault="00371DAB" w:rsidP="00371DAB">
            <w:pPr>
              <w:widowControl/>
              <w:spacing w:line="252" w:lineRule="atLeast"/>
              <w:jc w:val="left"/>
              <w:rPr>
                <w:rFonts w:ascii="宋体" w:eastAsia="宋体" w:hAnsi="宋体" w:cs="宋体"/>
                <w:kern w:val="0"/>
                <w:sz w:val="18"/>
                <w:szCs w:val="18"/>
              </w:rPr>
            </w:pPr>
          </w:p>
        </w:tc>
      </w:tr>
    </w:tbl>
    <w:p w:rsidR="00371DAB" w:rsidRPr="00371DAB" w:rsidRDefault="00371DAB" w:rsidP="00371DAB">
      <w:pPr>
        <w:widowControl/>
        <w:jc w:val="left"/>
        <w:rPr>
          <w:rFonts w:ascii="宋体" w:eastAsia="宋体" w:hAnsi="宋体" w:cs="宋体"/>
          <w:vanish/>
          <w:kern w:val="0"/>
          <w:sz w:val="24"/>
          <w:szCs w:val="24"/>
        </w:rPr>
      </w:pPr>
    </w:p>
    <w:tbl>
      <w:tblPr>
        <w:tblW w:w="15060" w:type="dxa"/>
        <w:jc w:val="center"/>
        <w:tblCellSpacing w:w="0" w:type="dxa"/>
        <w:shd w:val="clear" w:color="auto" w:fill="FFFFFF"/>
        <w:tblCellMar>
          <w:left w:w="0" w:type="dxa"/>
          <w:right w:w="0" w:type="dxa"/>
        </w:tblCellMar>
        <w:tblLook w:val="04A0" w:firstRow="1" w:lastRow="0" w:firstColumn="1" w:lastColumn="0" w:noHBand="0" w:noVBand="1"/>
      </w:tblPr>
      <w:tblGrid>
        <w:gridCol w:w="15060"/>
      </w:tblGrid>
      <w:tr w:rsidR="00371DAB" w:rsidRPr="00371DAB" w:rsidTr="00371DAB">
        <w:trPr>
          <w:trHeight w:val="300"/>
          <w:tblCellSpacing w:w="0" w:type="dxa"/>
          <w:jc w:val="center"/>
        </w:trPr>
        <w:tc>
          <w:tcPr>
            <w:tcW w:w="0" w:type="auto"/>
            <w:shd w:val="clear" w:color="auto" w:fill="FFFFFF"/>
            <w:hideMark/>
          </w:tcPr>
          <w:p w:rsidR="00371DAB" w:rsidRPr="00371DAB" w:rsidRDefault="00371DAB" w:rsidP="00371DAB">
            <w:pPr>
              <w:widowControl/>
              <w:jc w:val="left"/>
              <w:rPr>
                <w:rFonts w:ascii="宋体" w:eastAsia="宋体" w:hAnsi="宋体" w:cs="宋体"/>
                <w:kern w:val="0"/>
                <w:sz w:val="24"/>
                <w:szCs w:val="24"/>
              </w:rPr>
            </w:pPr>
          </w:p>
        </w:tc>
      </w:tr>
      <w:tr w:rsidR="00371DAB" w:rsidRPr="00371DAB" w:rsidTr="00371DAB">
        <w:trPr>
          <w:trHeight w:val="1420"/>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5060"/>
            </w:tblGrid>
            <w:tr w:rsidR="00371DAB" w:rsidRPr="00371DAB">
              <w:trPr>
                <w:tblCellSpacing w:w="0" w:type="dxa"/>
                <w:jc w:val="center"/>
              </w:trPr>
              <w:tc>
                <w:tcPr>
                  <w:tcW w:w="0" w:type="auto"/>
                  <w:vAlign w:val="center"/>
                  <w:hideMark/>
                </w:tcPr>
                <w:tbl>
                  <w:tblPr>
                    <w:tblW w:w="15060" w:type="dxa"/>
                    <w:jc w:val="center"/>
                    <w:tblCellSpacing w:w="0" w:type="dxa"/>
                    <w:tblCellMar>
                      <w:left w:w="0" w:type="dxa"/>
                      <w:right w:w="0" w:type="dxa"/>
                    </w:tblCellMar>
                    <w:tblLook w:val="04A0" w:firstRow="1" w:lastRow="0" w:firstColumn="1" w:lastColumn="0" w:noHBand="0" w:noVBand="1"/>
                  </w:tblPr>
                  <w:tblGrid>
                    <w:gridCol w:w="15060"/>
                  </w:tblGrid>
                  <w:tr w:rsidR="00371DAB" w:rsidRPr="00371DAB">
                    <w:trPr>
                      <w:trHeight w:val="360"/>
                      <w:tblCellSpacing w:w="0" w:type="dxa"/>
                      <w:jc w:val="center"/>
                    </w:trPr>
                    <w:tc>
                      <w:tcPr>
                        <w:tcW w:w="0" w:type="auto"/>
                        <w:vAlign w:val="center"/>
                        <w:hideMark/>
                      </w:tcPr>
                      <w:tbl>
                        <w:tblPr>
                          <w:tblW w:w="14820" w:type="dxa"/>
                          <w:jc w:val="center"/>
                          <w:tblCellSpacing w:w="0" w:type="dxa"/>
                          <w:tblCellMar>
                            <w:left w:w="0" w:type="dxa"/>
                            <w:right w:w="0" w:type="dxa"/>
                          </w:tblCellMar>
                          <w:tblLook w:val="04A0" w:firstRow="1" w:lastRow="0" w:firstColumn="1" w:lastColumn="0" w:noHBand="0" w:noVBand="1"/>
                        </w:tblPr>
                        <w:tblGrid>
                          <w:gridCol w:w="14820"/>
                        </w:tblGrid>
                        <w:tr w:rsidR="00371DAB" w:rsidRPr="00371DAB">
                          <w:trPr>
                            <w:trHeight w:val="300"/>
                            <w:tblCellSpacing w:w="0" w:type="dxa"/>
                            <w:jc w:val="center"/>
                          </w:trPr>
                          <w:tc>
                            <w:tcPr>
                              <w:tcW w:w="0" w:type="auto"/>
                              <w:vAlign w:val="center"/>
                              <w:hideMark/>
                            </w:tcPr>
                            <w:p w:rsidR="00371DAB" w:rsidRPr="00371DAB" w:rsidRDefault="00371DAB" w:rsidP="00371DAB">
                              <w:pPr>
                                <w:widowControl/>
                                <w:spacing w:line="252" w:lineRule="atLeast"/>
                                <w:jc w:val="center"/>
                                <w:rPr>
                                  <w:rFonts w:ascii="宋体" w:eastAsia="宋体" w:hAnsi="宋体" w:cs="宋体"/>
                                  <w:color w:val="FFFFFF"/>
                                  <w:kern w:val="0"/>
                                  <w:sz w:val="18"/>
                                  <w:szCs w:val="18"/>
                                </w:rPr>
                              </w:pPr>
                              <w:bookmarkStart w:id="0" w:name="5344"/>
                              <w:bookmarkEnd w:id="0"/>
                              <w:r w:rsidRPr="00371DAB">
                                <w:rPr>
                                  <w:rFonts w:ascii="宋体" w:eastAsia="宋体" w:hAnsi="宋体" w:cs="宋体" w:hint="eastAsia"/>
                                  <w:color w:val="FFFFFF"/>
                                  <w:kern w:val="0"/>
                                  <w:sz w:val="18"/>
                                  <w:szCs w:val="18"/>
                                </w:rPr>
                                <w:t>设为首页  |  </w:t>
                              </w:r>
                              <w:hyperlink r:id="rId9" w:tgtFrame="_blank" w:history="1">
                                <w:r w:rsidRPr="00371DAB">
                                  <w:rPr>
                                    <w:rFonts w:ascii="宋体" w:eastAsia="宋体" w:hAnsi="宋体" w:cs="宋体" w:hint="eastAsia"/>
                                    <w:color w:val="FFFFFF"/>
                                    <w:kern w:val="0"/>
                                    <w:sz w:val="18"/>
                                    <w:szCs w:val="18"/>
                                  </w:rPr>
                                  <w:t>内容保障</w:t>
                                </w:r>
                              </w:hyperlink>
                              <w:r w:rsidRPr="00371DAB">
                                <w:rPr>
                                  <w:rFonts w:ascii="宋体" w:eastAsia="宋体" w:hAnsi="宋体" w:cs="宋体" w:hint="eastAsia"/>
                                  <w:color w:val="FFFFFF"/>
                                  <w:kern w:val="0"/>
                                  <w:sz w:val="18"/>
                                  <w:szCs w:val="18"/>
                                </w:rPr>
                                <w:t>  |  </w:t>
                              </w:r>
                              <w:hyperlink r:id="rId10" w:tgtFrame="_blank" w:history="1">
                                <w:r w:rsidRPr="00371DAB">
                                  <w:rPr>
                                    <w:rFonts w:ascii="宋体" w:eastAsia="宋体" w:hAnsi="宋体" w:cs="宋体" w:hint="eastAsia"/>
                                    <w:color w:val="FFFFFF"/>
                                    <w:kern w:val="0"/>
                                    <w:sz w:val="18"/>
                                    <w:szCs w:val="18"/>
                                  </w:rPr>
                                  <w:t>网站申明</w:t>
                                </w:r>
                              </w:hyperlink>
                              <w:r w:rsidRPr="00371DAB">
                                <w:rPr>
                                  <w:rFonts w:ascii="宋体" w:eastAsia="宋体" w:hAnsi="宋体" w:cs="宋体" w:hint="eastAsia"/>
                                  <w:color w:val="FFFFFF"/>
                                  <w:kern w:val="0"/>
                                  <w:sz w:val="18"/>
                                  <w:szCs w:val="18"/>
                                </w:rPr>
                                <w:t>  |  </w:t>
                              </w:r>
                              <w:hyperlink r:id="rId11" w:tgtFrame="_blank" w:history="1">
                                <w:r w:rsidRPr="00371DAB">
                                  <w:rPr>
                                    <w:rFonts w:ascii="宋体" w:eastAsia="宋体" w:hAnsi="宋体" w:cs="宋体" w:hint="eastAsia"/>
                                    <w:color w:val="FFFFFF"/>
                                    <w:kern w:val="0"/>
                                    <w:sz w:val="18"/>
                                    <w:szCs w:val="18"/>
                                  </w:rPr>
                                  <w:t>网站地图</w:t>
                                </w:r>
                              </w:hyperlink>
                              <w:r w:rsidRPr="00371DAB">
                                <w:rPr>
                                  <w:rFonts w:ascii="宋体" w:eastAsia="宋体" w:hAnsi="宋体" w:cs="宋体" w:hint="eastAsia"/>
                                  <w:color w:val="FFFFFF"/>
                                  <w:kern w:val="0"/>
                                  <w:sz w:val="18"/>
                                  <w:szCs w:val="18"/>
                                </w:rPr>
                                <w:t>  |  </w:t>
                              </w:r>
                              <w:hyperlink r:id="rId12" w:tgtFrame="_blank" w:history="1">
                                <w:r w:rsidRPr="00371DAB">
                                  <w:rPr>
                                    <w:rFonts w:ascii="宋体" w:eastAsia="宋体" w:hAnsi="宋体" w:cs="宋体" w:hint="eastAsia"/>
                                    <w:color w:val="FFFFFF"/>
                                    <w:kern w:val="0"/>
                                    <w:sz w:val="18"/>
                                    <w:szCs w:val="18"/>
                                  </w:rPr>
                                  <w:t>联系我们</w:t>
                                </w:r>
                              </w:hyperlink>
                              <w:r w:rsidRPr="00371DAB">
                                <w:rPr>
                                  <w:rFonts w:ascii="宋体" w:eastAsia="宋体" w:hAnsi="宋体" w:cs="宋体" w:hint="eastAsia"/>
                                  <w:color w:val="FFFFFF"/>
                                  <w:kern w:val="0"/>
                                  <w:sz w:val="18"/>
                                  <w:szCs w:val="18"/>
                                </w:rPr>
                                <w:t> </w:t>
                              </w:r>
                            </w:p>
                          </w:tc>
                        </w:tr>
                        <w:tr w:rsidR="00371DAB" w:rsidRPr="00371DAB">
                          <w:trPr>
                            <w:tblCellSpacing w:w="0" w:type="dxa"/>
                            <w:jc w:val="center"/>
                          </w:trPr>
                          <w:tc>
                            <w:tcPr>
                              <w:tcW w:w="0" w:type="auto"/>
                              <w:vAlign w:val="center"/>
                              <w:hideMark/>
                            </w:tcPr>
                            <w:p w:rsidR="00371DAB" w:rsidRPr="00371DAB" w:rsidRDefault="00371DAB" w:rsidP="00371DAB">
                              <w:pPr>
                                <w:widowControl/>
                                <w:spacing w:line="252" w:lineRule="atLeast"/>
                                <w:jc w:val="center"/>
                                <w:rPr>
                                  <w:rFonts w:ascii="宋体" w:eastAsia="宋体" w:hAnsi="宋体" w:cs="宋体" w:hint="eastAsia"/>
                                  <w:color w:val="FFFFFF"/>
                                  <w:kern w:val="0"/>
                                  <w:sz w:val="18"/>
                                  <w:szCs w:val="18"/>
                                </w:rPr>
                              </w:pPr>
                            </w:p>
                          </w:tc>
                        </w:tr>
                      </w:tbl>
                      <w:p w:rsidR="00371DAB" w:rsidRPr="00371DAB" w:rsidRDefault="00371DAB" w:rsidP="00371DAB">
                        <w:pPr>
                          <w:widowControl/>
                          <w:spacing w:line="252" w:lineRule="atLeast"/>
                          <w:jc w:val="center"/>
                          <w:rPr>
                            <w:rFonts w:ascii="宋体" w:eastAsia="宋体" w:hAnsi="宋体" w:cs="宋体"/>
                            <w:vanish/>
                            <w:kern w:val="0"/>
                            <w:sz w:val="18"/>
                            <w:szCs w:val="18"/>
                          </w:rPr>
                        </w:pPr>
                      </w:p>
                      <w:tbl>
                        <w:tblPr>
                          <w:tblW w:w="14820" w:type="dxa"/>
                          <w:jc w:val="center"/>
                          <w:tblCellSpacing w:w="0" w:type="dxa"/>
                          <w:tblCellMar>
                            <w:left w:w="0" w:type="dxa"/>
                            <w:right w:w="0" w:type="dxa"/>
                          </w:tblCellMar>
                          <w:tblLook w:val="04A0" w:firstRow="1" w:lastRow="0" w:firstColumn="1" w:lastColumn="0" w:noHBand="0" w:noVBand="1"/>
                        </w:tblPr>
                        <w:tblGrid>
                          <w:gridCol w:w="1467"/>
                          <w:gridCol w:w="11335"/>
                          <w:gridCol w:w="2018"/>
                        </w:tblGrid>
                        <w:tr w:rsidR="00371DAB" w:rsidRPr="00371DAB">
                          <w:trPr>
                            <w:trHeight w:val="750"/>
                            <w:tblCellSpacing w:w="0" w:type="dxa"/>
                            <w:jc w:val="center"/>
                          </w:trPr>
                          <w:tc>
                            <w:tcPr>
                              <w:tcW w:w="0" w:type="auto"/>
                              <w:vAlign w:val="center"/>
                              <w:hideMark/>
                            </w:tcPr>
                            <w:p w:rsidR="00371DAB" w:rsidRPr="00371DAB" w:rsidRDefault="00371DAB" w:rsidP="00371DAB">
                              <w:pPr>
                                <w:widowControl/>
                                <w:spacing w:line="252" w:lineRule="atLeast"/>
                                <w:jc w:val="left"/>
                                <w:rPr>
                                  <w:rFonts w:ascii="宋体" w:eastAsia="宋体" w:hAnsi="宋体" w:cs="宋体"/>
                                  <w:kern w:val="0"/>
                                  <w:sz w:val="18"/>
                                  <w:szCs w:val="18"/>
                                </w:rPr>
                              </w:pPr>
                              <w:r w:rsidRPr="00371DAB">
                                <w:rPr>
                                  <w:rFonts w:ascii="宋体" w:eastAsia="宋体" w:hAnsi="宋体" w:cs="宋体"/>
                                  <w:noProof/>
                                  <w:color w:val="000000"/>
                                  <w:kern w:val="0"/>
                                  <w:sz w:val="18"/>
                                  <w:szCs w:val="18"/>
                                </w:rPr>
                                <w:drawing>
                                  <wp:inline distT="0" distB="0" distL="0" distR="0">
                                    <wp:extent cx="762000" cy="762000"/>
                                    <wp:effectExtent l="0" t="0" r="0" b="0"/>
                                    <wp:docPr id="2" name="图片 2" descr="http://dcs.conac.cn/image/red.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onac" descr="http://dcs.conac.cn/image/red.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rsidR="00371DAB" w:rsidRPr="00371DAB" w:rsidRDefault="00371DAB" w:rsidP="00371DAB">
                              <w:pPr>
                                <w:widowControl/>
                                <w:spacing w:line="375" w:lineRule="atLeast"/>
                                <w:jc w:val="center"/>
                                <w:rPr>
                                  <w:rFonts w:ascii="宋体" w:eastAsia="宋体" w:hAnsi="宋体" w:cs="宋体" w:hint="eastAsia"/>
                                  <w:color w:val="999999"/>
                                  <w:kern w:val="0"/>
                                  <w:sz w:val="18"/>
                                  <w:szCs w:val="18"/>
                                </w:rPr>
                              </w:pPr>
                              <w:r w:rsidRPr="00371DAB">
                                <w:rPr>
                                  <w:rFonts w:ascii="宋体" w:eastAsia="宋体" w:hAnsi="宋体" w:cs="宋体" w:hint="eastAsia"/>
                                  <w:color w:val="999999"/>
                                  <w:kern w:val="0"/>
                                  <w:sz w:val="18"/>
                                  <w:szCs w:val="18"/>
                                </w:rPr>
                                <w:t>版权所有：济南市历城区人民政府办公室    技术支持：济南市历城区信息中心</w:t>
                              </w:r>
                              <w:r w:rsidRPr="00371DAB">
                                <w:rPr>
                                  <w:rFonts w:ascii="宋体" w:eastAsia="宋体" w:hAnsi="宋体" w:cs="宋体" w:hint="eastAsia"/>
                                  <w:color w:val="999999"/>
                                  <w:kern w:val="0"/>
                                  <w:sz w:val="18"/>
                                  <w:szCs w:val="18"/>
                                </w:rPr>
                                <w:br/>
                                <w:t>技术信箱：lcqxxzx@126.com   地址：山东济南市山大北路47号  邮政编码：250100  鲁ICP备12027916号</w:t>
                              </w:r>
                            </w:p>
                          </w:tc>
                          <w:tc>
                            <w:tcPr>
                              <w:tcW w:w="0" w:type="auto"/>
                              <w:vAlign w:val="center"/>
                              <w:hideMark/>
                            </w:tcPr>
                            <w:p w:rsidR="00371DAB" w:rsidRPr="00371DAB" w:rsidRDefault="00371DAB" w:rsidP="00371DAB">
                              <w:pPr>
                                <w:widowControl/>
                                <w:spacing w:line="252" w:lineRule="atLeast"/>
                                <w:jc w:val="left"/>
                                <w:rPr>
                                  <w:rFonts w:ascii="宋体" w:eastAsia="宋体" w:hAnsi="宋体" w:cs="宋体" w:hint="eastAsia"/>
                                  <w:kern w:val="0"/>
                                  <w:sz w:val="18"/>
                                  <w:szCs w:val="18"/>
                                </w:rPr>
                              </w:pPr>
                              <w:r w:rsidRPr="00371DAB">
                                <w:rPr>
                                  <w:rFonts w:ascii="宋体" w:eastAsia="宋体" w:hAnsi="宋体" w:cs="宋体"/>
                                  <w:noProof/>
                                  <w:kern w:val="0"/>
                                  <w:sz w:val="18"/>
                                  <w:szCs w:val="18"/>
                                </w:rPr>
                                <w:drawing>
                                  <wp:inline distT="0" distB="0" distL="0" distR="0">
                                    <wp:extent cx="1047750" cy="527050"/>
                                    <wp:effectExtent l="0" t="0" r="0" b="6350"/>
                                    <wp:docPr id="1" name="图片 1" descr="http://121.43.68.40/exposure/images/jiucuo.png?v=37011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1.43.68.40/exposure/images/jiucuo.png?v=37011200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527050"/>
                                            </a:xfrm>
                                            <a:prstGeom prst="rect">
                                              <a:avLst/>
                                            </a:prstGeom>
                                            <a:noFill/>
                                            <a:ln>
                                              <a:noFill/>
                                            </a:ln>
                                          </pic:spPr>
                                        </pic:pic>
                                      </a:graphicData>
                                    </a:graphic>
                                  </wp:inline>
                                </w:drawing>
                              </w:r>
                            </w:p>
                          </w:tc>
                        </w:tr>
                      </w:tbl>
                      <w:p w:rsidR="00371DAB" w:rsidRPr="00371DAB" w:rsidRDefault="00371DAB" w:rsidP="00371DAB">
                        <w:pPr>
                          <w:widowControl/>
                          <w:spacing w:line="252" w:lineRule="atLeast"/>
                          <w:jc w:val="center"/>
                          <w:rPr>
                            <w:rFonts w:ascii="宋体" w:eastAsia="宋体" w:hAnsi="宋体" w:cs="宋体" w:hint="eastAsia"/>
                            <w:kern w:val="0"/>
                            <w:sz w:val="18"/>
                            <w:szCs w:val="18"/>
                          </w:rPr>
                        </w:pPr>
                      </w:p>
                    </w:tc>
                  </w:tr>
                </w:tbl>
                <w:p w:rsidR="00371DAB" w:rsidRPr="00371DAB" w:rsidRDefault="00371DAB" w:rsidP="00371DAB">
                  <w:pPr>
                    <w:widowControl/>
                    <w:spacing w:line="252" w:lineRule="atLeast"/>
                    <w:jc w:val="center"/>
                    <w:rPr>
                      <w:rFonts w:ascii="Tahoma" w:eastAsia="宋体" w:hAnsi="Tahoma" w:cs="Tahoma"/>
                      <w:kern w:val="0"/>
                      <w:sz w:val="18"/>
                      <w:szCs w:val="18"/>
                    </w:rPr>
                  </w:pPr>
                </w:p>
              </w:tc>
            </w:tr>
          </w:tbl>
          <w:p w:rsidR="00371DAB" w:rsidRPr="00371DAB" w:rsidRDefault="00371DAB" w:rsidP="00371DAB">
            <w:pPr>
              <w:widowControl/>
              <w:spacing w:line="252" w:lineRule="atLeast"/>
              <w:jc w:val="left"/>
              <w:rPr>
                <w:rFonts w:ascii="宋体" w:eastAsia="宋体" w:hAnsi="宋体" w:cs="宋体"/>
                <w:kern w:val="0"/>
                <w:sz w:val="18"/>
                <w:szCs w:val="18"/>
              </w:rPr>
            </w:pPr>
          </w:p>
        </w:tc>
      </w:tr>
    </w:tbl>
    <w:p w:rsidR="0005687E" w:rsidRDefault="00371DAB">
      <w:bookmarkStart w:id="1" w:name="_GoBack"/>
      <w:bookmarkEnd w:id="1"/>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AB"/>
    <w:rsid w:val="001B6451"/>
    <w:rsid w:val="00371DAB"/>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E30D9-A6BF-4CA3-AD3C-ED8CEBA5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71D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71DAB"/>
    <w:rPr>
      <w:rFonts w:ascii="宋体" w:eastAsia="宋体" w:hAnsi="宋体" w:cs="宋体"/>
      <w:b/>
      <w:bCs/>
      <w:kern w:val="36"/>
      <w:sz w:val="48"/>
      <w:szCs w:val="48"/>
    </w:rPr>
  </w:style>
  <w:style w:type="paragraph" w:styleId="a3">
    <w:name w:val="Normal (Web)"/>
    <w:basedOn w:val="a"/>
    <w:uiPriority w:val="99"/>
    <w:semiHidden/>
    <w:unhideWhenUsed/>
    <w:rsid w:val="00371DA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71DAB"/>
    <w:rPr>
      <w:color w:val="0000FF"/>
      <w:u w:val="single"/>
    </w:rPr>
  </w:style>
  <w:style w:type="character" w:customStyle="1" w:styleId="apple-converted-space">
    <w:name w:val="apple-converted-space"/>
    <w:basedOn w:val="a0"/>
    <w:rsid w:val="00371DAB"/>
  </w:style>
  <w:style w:type="character" w:customStyle="1" w:styleId="normal">
    <w:name w:val="normal"/>
    <w:basedOn w:val="a0"/>
    <w:rsid w:val="00371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53">
      <w:bodyDiv w:val="1"/>
      <w:marLeft w:val="0"/>
      <w:marRight w:val="0"/>
      <w:marTop w:val="0"/>
      <w:marBottom w:val="0"/>
      <w:divBdr>
        <w:top w:val="none" w:sz="0" w:space="0" w:color="auto"/>
        <w:left w:val="none" w:sz="0" w:space="0" w:color="auto"/>
        <w:bottom w:val="none" w:sz="0" w:space="0" w:color="auto"/>
        <w:right w:val="none" w:sz="0" w:space="0" w:color="auto"/>
      </w:divBdr>
      <w:divsChild>
        <w:div w:id="197351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13" Type="http://schemas.openxmlformats.org/officeDocument/2006/relationships/hyperlink" Target="http://bszs.conac.cn/sitename?method=show&amp;id=2905BB04A3D611C9E053022819AC16DC"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12" Type="http://schemas.openxmlformats.org/officeDocument/2006/relationships/hyperlink" Target="mailto:lcxxzx@licheng.gov.c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hyperlink" Target="http://www.licheng.gov.cn/tabid/530/Default.aspx" TargetMode="External"/><Relationship Id="rId5" Type="http://schemas.openxmlformats.org/officeDocument/2006/relationships/hyperlink" Target="javascript:doZoom(14)" TargetMode="External"/><Relationship Id="rId15" Type="http://schemas.openxmlformats.org/officeDocument/2006/relationships/image" Target="media/image2.png"/><Relationship Id="rId10" Type="http://schemas.openxmlformats.org/officeDocument/2006/relationships/hyperlink" Target="http://www.licheng.gov.cn/tabid/529/Default.aspx" TargetMode="External"/><Relationship Id="rId4" Type="http://schemas.openxmlformats.org/officeDocument/2006/relationships/hyperlink" Target="javascript:doZoom(16)" TargetMode="External"/><Relationship Id="rId9" Type="http://schemas.openxmlformats.org/officeDocument/2006/relationships/hyperlink" Target="http://www.licheng.gov.cn/tabid/1290/Default.aspx"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2018-05-07T06:28:00Z</dcterms:created>
  <dcterms:modified xsi:type="dcterms:W3CDTF">2018-05-07T06:28:00Z</dcterms:modified>
</cp:coreProperties>
</file>