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F1BF"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color w:val="6A6A6A"/>
          <w:sz w:val="23"/>
          <w:szCs w:val="23"/>
        </w:rPr>
      </w:pPr>
      <w:r>
        <w:rPr>
          <w:rFonts w:ascii="微软雅黑" w:eastAsia="微软雅黑" w:hAnsi="微软雅黑" w:hint="eastAsia"/>
          <w:color w:val="6A6A6A"/>
          <w:sz w:val="30"/>
          <w:szCs w:val="30"/>
        </w:rPr>
        <w:t>临沂市技能大师工作室建设项目管理办法</w:t>
      </w:r>
      <w:r>
        <w:rPr>
          <w:rFonts w:ascii="微软雅黑" w:eastAsia="微软雅黑" w:hAnsi="微软雅黑" w:hint="eastAsia"/>
          <w:color w:val="6A6A6A"/>
          <w:sz w:val="30"/>
          <w:szCs w:val="30"/>
        </w:rPr>
        <w:br/>
        <w:t xml:space="preserve">　　第一章 总 则</w:t>
      </w:r>
    </w:p>
    <w:p w14:paraId="6D350AF2" w14:textId="77777777" w:rsidR="00893EAC" w:rsidRDefault="00893EAC" w:rsidP="00893EAC">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第一条 为加快培养一批技能精湛、素质优秀的“大国工匠”，推动高技能人才队伍建设，根据中共临沂市委、临沂市人民政府《关于做好人才支撑新旧动能转换工作的实施意见》（临发﹝2018﹞12 号）等有关要求，制定本办法。</w:t>
      </w:r>
      <w:r>
        <w:rPr>
          <w:rFonts w:ascii="微软雅黑" w:eastAsia="微软雅黑" w:hAnsi="微软雅黑" w:hint="eastAsia"/>
          <w:color w:val="6A6A6A"/>
          <w:sz w:val="23"/>
          <w:szCs w:val="23"/>
        </w:rPr>
        <w:br/>
        <w:t xml:space="preserve">　　第二条 技能大师工作室的主要功能是发挥高技能领军人才在带徒传技、技能攻关、技艺传承、技能推广等方面的重要作用，在各行业生产企业与科研院所、高等院校之间、上下游产业之间建立有效运行的产学研合作创新研发机制，实现技能大师工作室成员单位的共同发展。</w:t>
      </w:r>
      <w:r>
        <w:rPr>
          <w:rFonts w:ascii="微软雅黑" w:eastAsia="微软雅黑" w:hAnsi="微软雅黑" w:hint="eastAsia"/>
          <w:color w:val="6A6A6A"/>
          <w:sz w:val="23"/>
          <w:szCs w:val="23"/>
        </w:rPr>
        <w:br/>
        <w:t xml:space="preserve">　　第三条 技能大师工作室建设项目主要围绕高科技产业、战略性新兴产业、先进制造业、现代服务业和经济社会发展急需、紧缺行业（领域）组织实施。</w:t>
      </w:r>
      <w:r>
        <w:rPr>
          <w:rFonts w:ascii="微软雅黑" w:eastAsia="微软雅黑" w:hAnsi="微软雅黑" w:hint="eastAsia"/>
          <w:color w:val="6A6A6A"/>
          <w:sz w:val="23"/>
          <w:szCs w:val="23"/>
        </w:rPr>
        <w:br/>
        <w:t xml:space="preserve">　　第四条 技能大师工作室主要依托在技能含量较高的行业、大中型企业和职业院校中工作的高技能人才以及部分掌握传统技能、民间绝技和非物质文化遗产的技能大师进行建设。</w:t>
      </w:r>
    </w:p>
    <w:p w14:paraId="26F1C8BF"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30"/>
          <w:szCs w:val="30"/>
        </w:rPr>
        <w:t xml:space="preserve">　　第二</w:t>
      </w:r>
      <w:proofErr w:type="gramStart"/>
      <w:r>
        <w:rPr>
          <w:rFonts w:ascii="微软雅黑" w:eastAsia="微软雅黑" w:hAnsi="微软雅黑" w:hint="eastAsia"/>
          <w:color w:val="6A6A6A"/>
          <w:sz w:val="30"/>
          <w:szCs w:val="30"/>
        </w:rPr>
        <w:t>章项目</w:t>
      </w:r>
      <w:proofErr w:type="gramEnd"/>
      <w:r>
        <w:rPr>
          <w:rFonts w:ascii="微软雅黑" w:eastAsia="微软雅黑" w:hAnsi="微软雅黑" w:hint="eastAsia"/>
          <w:color w:val="6A6A6A"/>
          <w:sz w:val="30"/>
          <w:szCs w:val="30"/>
        </w:rPr>
        <w:t>建设目标及任务</w:t>
      </w:r>
    </w:p>
    <w:p w14:paraId="24AF1158" w14:textId="77777777" w:rsidR="00893EAC" w:rsidRDefault="00893EAC" w:rsidP="00893EAC">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第五条 技能大师工作室要以企业的发展需求和各方的共同利益为基础，以提升产业技术创新能力为目标，以企业院校参与为支撑，以高技能人才参与为核心，以政府服务支持为保障，形成联合开发、优势互补、利益共享、风险共担的技术创新型合作组织。</w:t>
      </w:r>
      <w:r>
        <w:rPr>
          <w:rFonts w:ascii="微软雅黑" w:eastAsia="微软雅黑" w:hAnsi="微软雅黑" w:hint="eastAsia"/>
          <w:color w:val="6A6A6A"/>
          <w:sz w:val="23"/>
          <w:szCs w:val="23"/>
        </w:rPr>
        <w:br/>
        <w:t xml:space="preserve">　　第六条 技能大师工作室采取自主创新与集成创新相结合的形式，充分汇集现有高技能人才资源优势，承担以下主要任务：</w:t>
      </w:r>
      <w:r>
        <w:rPr>
          <w:rFonts w:ascii="微软雅黑" w:eastAsia="微软雅黑" w:hAnsi="微软雅黑" w:hint="eastAsia"/>
          <w:color w:val="6A6A6A"/>
          <w:sz w:val="23"/>
          <w:szCs w:val="23"/>
        </w:rPr>
        <w:br/>
        <w:t xml:space="preserve">　　（一）根据各工种现有生产工艺技术基础标准，积极开展具有创新性、前瞻</w:t>
      </w:r>
      <w:r>
        <w:rPr>
          <w:rFonts w:ascii="微软雅黑" w:eastAsia="微软雅黑" w:hAnsi="微软雅黑" w:hint="eastAsia"/>
          <w:color w:val="6A6A6A"/>
          <w:sz w:val="23"/>
          <w:szCs w:val="23"/>
        </w:rPr>
        <w:lastRenderedPageBreak/>
        <w:t>性、标准化的开发与研究，逐步建立和完善各工种工艺及产品制造的标准化体系，为关键技术的研究和产品制造提供标准支持；</w:t>
      </w:r>
      <w:r>
        <w:rPr>
          <w:rFonts w:ascii="微软雅黑" w:eastAsia="微软雅黑" w:hAnsi="微软雅黑" w:hint="eastAsia"/>
          <w:color w:val="6A6A6A"/>
          <w:sz w:val="23"/>
          <w:szCs w:val="23"/>
        </w:rPr>
        <w:br/>
        <w:t xml:space="preserve">　　（二）根据行业、工种发展需求，组织技能大师工作室成员学习新知识、新技术，研究开发生产实践中的关键共性技术，促进产业技术进步和提高核心竞争力；</w:t>
      </w:r>
      <w:r>
        <w:rPr>
          <w:rFonts w:ascii="微软雅黑" w:eastAsia="微软雅黑" w:hAnsi="微软雅黑" w:hint="eastAsia"/>
          <w:color w:val="6A6A6A"/>
          <w:sz w:val="23"/>
          <w:szCs w:val="23"/>
        </w:rPr>
        <w:br/>
        <w:t xml:space="preserve">　　（三）凝聚技能大师工作室技术、人才、设备和信息等资源，实现知识产权共享、技术转移和扩散，加快成果转化，为满足企业发展、生产应用需求提供成熟的先进技术、工艺及其技术成果；</w:t>
      </w:r>
      <w:r>
        <w:rPr>
          <w:rFonts w:ascii="微软雅黑" w:eastAsia="微软雅黑" w:hAnsi="微软雅黑" w:hint="eastAsia"/>
          <w:color w:val="6A6A6A"/>
          <w:sz w:val="23"/>
          <w:szCs w:val="23"/>
        </w:rPr>
        <w:br/>
        <w:t xml:space="preserve">　　（四）对引进技术进行消化吸收，开展国内外技术合作交流，促进自主创新能力的提高。大力推广传统技能、民间绝技和非物质文化遗产的传承。依托工作室开展技艺传承，培养青年技能人才；</w:t>
      </w:r>
      <w:r>
        <w:rPr>
          <w:rFonts w:ascii="微软雅黑" w:eastAsia="微软雅黑" w:hAnsi="微软雅黑" w:hint="eastAsia"/>
          <w:color w:val="6A6A6A"/>
          <w:sz w:val="23"/>
          <w:szCs w:val="23"/>
        </w:rPr>
        <w:br/>
        <w:t xml:space="preserve">　　（五）开展各工种新技术、新工艺、新产品的技术验证和评审，提供高技能人才的技术革新、人才培训、信息咨询等学习平台，促进技能大师工作室整体技术的提升；</w:t>
      </w:r>
      <w:r>
        <w:rPr>
          <w:rFonts w:ascii="微软雅黑" w:eastAsia="微软雅黑" w:hAnsi="微软雅黑" w:hint="eastAsia"/>
          <w:color w:val="6A6A6A"/>
          <w:sz w:val="23"/>
          <w:szCs w:val="23"/>
        </w:rPr>
        <w:br/>
        <w:t xml:space="preserve">　　（六）积极为技能大师工作室成员的发展争取政府部门的政策和项目支持，为高技能人才队伍建设建言献策。</w:t>
      </w:r>
    </w:p>
    <w:p w14:paraId="6B391B28"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30"/>
          <w:szCs w:val="30"/>
        </w:rPr>
        <w:t xml:space="preserve">　　第三章 项目建设申报条件</w:t>
      </w:r>
    </w:p>
    <w:p w14:paraId="08D3C499" w14:textId="77777777" w:rsidR="00893EAC" w:rsidRDefault="00893EAC" w:rsidP="00893EAC">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第七条 技能大师工作室建设项目申报单位应符合以下条件:</w:t>
      </w:r>
      <w:r>
        <w:rPr>
          <w:rFonts w:ascii="微软雅黑" w:eastAsia="微软雅黑" w:hAnsi="微软雅黑" w:hint="eastAsia"/>
          <w:color w:val="6A6A6A"/>
          <w:sz w:val="23"/>
          <w:szCs w:val="23"/>
        </w:rPr>
        <w:br/>
        <w:t xml:space="preserve">　　（一）技能大师的条件。技能大师应当是某一行业（领域）技能拔尖、技艺精湛并具有较强创新创造能力和社会影响力的高技能人才，应同时具备以下条件:</w:t>
      </w:r>
      <w:r>
        <w:rPr>
          <w:rFonts w:ascii="微软雅黑" w:eastAsia="微软雅黑" w:hAnsi="微软雅黑" w:hint="eastAsia"/>
          <w:color w:val="6A6A6A"/>
          <w:sz w:val="23"/>
          <w:szCs w:val="23"/>
        </w:rPr>
        <w:br/>
        <w:t xml:space="preserve">　　1. 获得中华技能大奖、国务院特殊津贴、全国技术能手、齐鲁首席技师(山东省首席技师 )、山东省有突出贡献的技师、山东省技术能手、沂蒙首席技师（临沂市首席技师）以及泰山产业领军人才(技能类)称号之一的；</w:t>
      </w:r>
      <w:r>
        <w:rPr>
          <w:rFonts w:ascii="微软雅黑" w:eastAsia="微软雅黑" w:hAnsi="微软雅黑" w:hint="eastAsia"/>
          <w:color w:val="6A6A6A"/>
          <w:sz w:val="23"/>
          <w:szCs w:val="23"/>
        </w:rPr>
        <w:br/>
      </w:r>
      <w:r>
        <w:rPr>
          <w:rFonts w:ascii="微软雅黑" w:eastAsia="微软雅黑" w:hAnsi="微软雅黑" w:hint="eastAsia"/>
          <w:color w:val="6A6A6A"/>
          <w:sz w:val="23"/>
          <w:szCs w:val="23"/>
        </w:rPr>
        <w:lastRenderedPageBreak/>
        <w:t xml:space="preserve">　　2. 积极开展技术技能革新，取得有影响的发明创造，并产生较大经济效益的；</w:t>
      </w:r>
      <w:r>
        <w:rPr>
          <w:rFonts w:ascii="微软雅黑" w:eastAsia="微软雅黑" w:hAnsi="微软雅黑" w:hint="eastAsia"/>
          <w:color w:val="6A6A6A"/>
          <w:sz w:val="23"/>
          <w:szCs w:val="23"/>
        </w:rPr>
        <w:br/>
        <w:t xml:space="preserve">　　3. 在带徒传技方面经验丰富、成绩突出 ，所带徒弟多人成为单位技能骨干、在各类职业技能竞赛中取得优异成绩；</w:t>
      </w:r>
      <w:r>
        <w:rPr>
          <w:rFonts w:ascii="微软雅黑" w:eastAsia="微软雅黑" w:hAnsi="微软雅黑" w:hint="eastAsia"/>
          <w:color w:val="6A6A6A"/>
          <w:sz w:val="23"/>
          <w:szCs w:val="23"/>
        </w:rPr>
        <w:br/>
        <w:t xml:space="preserve">　　4. 身体健康，能够承担工作室日常工作。</w:t>
      </w:r>
      <w:r>
        <w:rPr>
          <w:rFonts w:ascii="微软雅黑" w:eastAsia="微软雅黑" w:hAnsi="微软雅黑" w:hint="eastAsia"/>
          <w:color w:val="6A6A6A"/>
          <w:sz w:val="23"/>
          <w:szCs w:val="23"/>
        </w:rPr>
        <w:br/>
        <w:t xml:space="preserve">　　（二）依托企业建立技能大师工作室，企业应当具备的条件：有符合条件的技能大师2名以上；技能人才比较密集；高度重视技能人才队伍建设工作，建立了较为完善的技能人才培养、评价、选拔、使用和激励制度；企业职工教育经费用于高技能人才培养、交流等方面的费用不低于50%，能够为技能大师工作室提供相应的资金支持以及场所、设备在内的必要工作条件等(其中固定工作场所一般不少于 60平方米)。</w:t>
      </w:r>
      <w:r>
        <w:rPr>
          <w:rFonts w:ascii="微软雅黑" w:eastAsia="微软雅黑" w:hAnsi="微软雅黑" w:hint="eastAsia"/>
          <w:color w:val="6A6A6A"/>
          <w:sz w:val="23"/>
          <w:szCs w:val="23"/>
        </w:rPr>
        <w:br/>
        <w:t xml:space="preserve">　　（三）依托技工院校、职业院校或公共职业技能实训基地建立技能大师工作室，应当具备的条件:有符合条件的技能大师2名以上；高度重视技能人才队伍建设，制定了一系列加快高技能人才队伍建设的政策措施；能够为技能大师工作室提供相应的资金支持以及场所、设备在内的必要的工作条件等(其中固定工作场所一般不少于60平方米)。</w:t>
      </w:r>
      <w:r>
        <w:rPr>
          <w:rFonts w:ascii="微软雅黑" w:eastAsia="微软雅黑" w:hAnsi="微软雅黑" w:hint="eastAsia"/>
          <w:color w:val="6A6A6A"/>
          <w:sz w:val="23"/>
          <w:szCs w:val="23"/>
        </w:rPr>
        <w:br/>
        <w:t xml:space="preserve">　　（四）具有突出绝技绝活，并在积极挖掘和传承传统工艺、非物质文化遗产传承与保护上</w:t>
      </w:r>
      <w:proofErr w:type="gramStart"/>
      <w:r>
        <w:rPr>
          <w:rFonts w:ascii="微软雅黑" w:eastAsia="微软雅黑" w:hAnsi="微软雅黑" w:hint="eastAsia"/>
          <w:color w:val="6A6A6A"/>
          <w:sz w:val="23"/>
          <w:szCs w:val="23"/>
        </w:rPr>
        <w:t>作出</w:t>
      </w:r>
      <w:proofErr w:type="gramEnd"/>
      <w:r>
        <w:rPr>
          <w:rFonts w:ascii="微软雅黑" w:eastAsia="微软雅黑" w:hAnsi="微软雅黑" w:hint="eastAsia"/>
          <w:color w:val="6A6A6A"/>
          <w:sz w:val="23"/>
          <w:szCs w:val="23"/>
        </w:rPr>
        <w:t>较大贡献的技能型人才，可参照上述条件单独申报。</w:t>
      </w:r>
    </w:p>
    <w:p w14:paraId="3F29C6D2"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30"/>
          <w:szCs w:val="30"/>
        </w:rPr>
        <w:t xml:space="preserve">　　第四章 项目实施</w:t>
      </w:r>
    </w:p>
    <w:p w14:paraId="40BD4AB1" w14:textId="77777777" w:rsidR="00893EAC" w:rsidRDefault="00893EAC" w:rsidP="00893EAC">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第八条 项目申报。符合条件的单位根据市人力资源社会保障局的部署要求申报技能大师工作室建设项目，提交申报材料，主要包括 :</w:t>
      </w:r>
      <w:r>
        <w:rPr>
          <w:rFonts w:ascii="微软雅黑" w:eastAsia="微软雅黑" w:hAnsi="微软雅黑" w:hint="eastAsia"/>
          <w:color w:val="6A6A6A"/>
          <w:sz w:val="23"/>
          <w:szCs w:val="23"/>
        </w:rPr>
        <w:br/>
        <w:t xml:space="preserve">　　（一）技能大师工作室申报表。</w:t>
      </w:r>
      <w:r>
        <w:rPr>
          <w:rFonts w:ascii="微软雅黑" w:eastAsia="微软雅黑" w:hAnsi="微软雅黑" w:hint="eastAsia"/>
          <w:color w:val="6A6A6A"/>
          <w:sz w:val="23"/>
          <w:szCs w:val="23"/>
        </w:rPr>
        <w:br/>
      </w:r>
      <w:r>
        <w:rPr>
          <w:rFonts w:ascii="微软雅黑" w:eastAsia="微软雅黑" w:hAnsi="微软雅黑" w:hint="eastAsia"/>
          <w:color w:val="6A6A6A"/>
          <w:sz w:val="23"/>
          <w:szCs w:val="23"/>
        </w:rPr>
        <w:lastRenderedPageBreak/>
        <w:t xml:space="preserve">　　（二）申报报告。申报技能大师工作室职业（工种）、技能大师工作室成立的必要性和现有优势、技能大师简介、技能大师工作室计划目标等。</w:t>
      </w:r>
      <w:r>
        <w:rPr>
          <w:rFonts w:ascii="微软雅黑" w:eastAsia="微软雅黑" w:hAnsi="微软雅黑" w:hint="eastAsia"/>
          <w:color w:val="6A6A6A"/>
          <w:sz w:val="23"/>
          <w:szCs w:val="23"/>
        </w:rPr>
        <w:br/>
        <w:t xml:space="preserve">　　（三）技能大师工作室所依托的企业、院校或公共职业技能实训基地有关情况说明，加快高技能人才队伍建设的措施，企业职工教育经费用于高技能人才培养、交流等方面的费用不低于50%的证明材料，能够为技能大师工作室提供资金支持以及场所、设备等工作条件的情况说明。</w:t>
      </w:r>
      <w:r>
        <w:rPr>
          <w:rFonts w:ascii="微软雅黑" w:eastAsia="微软雅黑" w:hAnsi="微软雅黑" w:hint="eastAsia"/>
          <w:color w:val="6A6A6A"/>
          <w:sz w:val="23"/>
          <w:szCs w:val="23"/>
        </w:rPr>
        <w:br/>
        <w:t xml:space="preserve">　　（四）企业法人营业执照或主管部门批准成立的文件以及组织机构代码证的复印件。</w:t>
      </w:r>
      <w:r>
        <w:rPr>
          <w:rFonts w:ascii="微软雅黑" w:eastAsia="微软雅黑" w:hAnsi="微软雅黑" w:hint="eastAsia"/>
          <w:color w:val="6A6A6A"/>
          <w:sz w:val="23"/>
          <w:szCs w:val="23"/>
        </w:rPr>
        <w:br/>
        <w:t xml:space="preserve">　　（五）技能大师的身份证、中华技能大奖或全国技术能手等证书及技师以上职业资格证书复印件。</w:t>
      </w:r>
      <w:r>
        <w:rPr>
          <w:rFonts w:ascii="微软雅黑" w:eastAsia="微软雅黑" w:hAnsi="微软雅黑" w:hint="eastAsia"/>
          <w:color w:val="6A6A6A"/>
          <w:sz w:val="23"/>
          <w:szCs w:val="23"/>
        </w:rPr>
        <w:br/>
        <w:t xml:space="preserve">　　第九条 审核确定。技能大师工作室建设项目应经县区人力资源社会保障局或市直主管部门组织专家评议论证，按照名额、条件要求评审确定推荐项目候选单位；市人力资源社会保障局通过评审、考察、公示等方式，经综合研究后公布年度项目建设单位名单。</w:t>
      </w:r>
      <w:r>
        <w:rPr>
          <w:rFonts w:ascii="微软雅黑" w:eastAsia="微软雅黑" w:hAnsi="微软雅黑" w:hint="eastAsia"/>
          <w:color w:val="6A6A6A"/>
          <w:sz w:val="23"/>
          <w:szCs w:val="23"/>
        </w:rPr>
        <w:br/>
        <w:t xml:space="preserve">　　第十条 项目实施。技能大师工作室要根据行业（企业）的需要，开展各种形式的主题活动，组织开展新知识、新技术的学习培训、技术交流，解决技术难题、组织技术攻关、技术成果的筛选与推荐。要积极参与相关行业、产业的非物质文化遗产传承与保护工作，推动相关非</w:t>
      </w:r>
      <w:proofErr w:type="gramStart"/>
      <w:r>
        <w:rPr>
          <w:rFonts w:ascii="微软雅黑" w:eastAsia="微软雅黑" w:hAnsi="微软雅黑" w:hint="eastAsia"/>
          <w:color w:val="6A6A6A"/>
          <w:sz w:val="23"/>
          <w:szCs w:val="23"/>
        </w:rPr>
        <w:t>遗项目</w:t>
      </w:r>
      <w:proofErr w:type="gramEnd"/>
      <w:r>
        <w:rPr>
          <w:rFonts w:ascii="微软雅黑" w:eastAsia="微软雅黑" w:hAnsi="微软雅黑" w:hint="eastAsia"/>
          <w:color w:val="6A6A6A"/>
          <w:sz w:val="23"/>
          <w:szCs w:val="23"/>
        </w:rPr>
        <w:t>的人才培养。</w:t>
      </w:r>
      <w:r>
        <w:rPr>
          <w:rFonts w:ascii="微软雅黑" w:eastAsia="微软雅黑" w:hAnsi="微软雅黑" w:hint="eastAsia"/>
          <w:color w:val="6A6A6A"/>
          <w:sz w:val="23"/>
          <w:szCs w:val="23"/>
        </w:rPr>
        <w:br/>
        <w:t xml:space="preserve">　　申报材料确定的各项建设内容，应在建设期内按期完成，建设过程中原则上不作调整。</w:t>
      </w:r>
      <w:r>
        <w:rPr>
          <w:rFonts w:ascii="微软雅黑" w:eastAsia="微软雅黑" w:hAnsi="微软雅黑" w:hint="eastAsia"/>
          <w:color w:val="6A6A6A"/>
          <w:sz w:val="23"/>
          <w:szCs w:val="23"/>
        </w:rPr>
        <w:br/>
        <w:t xml:space="preserve">　　第十一条 检查验收。市人力资源社会保障局负责对技能大师工作室进行综合管理和指导，建立考核制度，对技能大师工作室实施动态管理。对考核评估不合格</w:t>
      </w:r>
      <w:r>
        <w:rPr>
          <w:rFonts w:ascii="微软雅黑" w:eastAsia="微软雅黑" w:hAnsi="微软雅黑" w:hint="eastAsia"/>
          <w:color w:val="6A6A6A"/>
          <w:sz w:val="23"/>
          <w:szCs w:val="23"/>
        </w:rPr>
        <w:lastRenderedPageBreak/>
        <w:t>的，撤销技能大师工作室项目建设资格，追回财政补助资金。</w:t>
      </w:r>
      <w:r>
        <w:rPr>
          <w:rFonts w:ascii="微软雅黑" w:eastAsia="微软雅黑" w:hAnsi="微软雅黑" w:hint="eastAsia"/>
          <w:color w:val="6A6A6A"/>
          <w:sz w:val="23"/>
          <w:szCs w:val="23"/>
        </w:rPr>
        <w:br/>
        <w:t xml:space="preserve">　　第十二条 技能大师工作室有下列情形之一的，取消其技能大师工作室项目建设资格：</w:t>
      </w:r>
      <w:r>
        <w:rPr>
          <w:rFonts w:ascii="微软雅黑" w:eastAsia="微软雅黑" w:hAnsi="微软雅黑" w:hint="eastAsia"/>
          <w:color w:val="6A6A6A"/>
          <w:sz w:val="23"/>
          <w:szCs w:val="23"/>
        </w:rPr>
        <w:br/>
        <w:t xml:space="preserve">　　（一）工作室主要带头人有违法违纪行为或者重大过失的；</w:t>
      </w:r>
      <w:r>
        <w:rPr>
          <w:rFonts w:ascii="微软雅黑" w:eastAsia="微软雅黑" w:hAnsi="微软雅黑" w:hint="eastAsia"/>
          <w:color w:val="6A6A6A"/>
          <w:sz w:val="23"/>
          <w:szCs w:val="23"/>
        </w:rPr>
        <w:br/>
        <w:t xml:space="preserve">　　（二）不开展技术研发、技术交流、技术革新、技术攻关，带徒传技等工作的；</w:t>
      </w:r>
      <w:r>
        <w:rPr>
          <w:rFonts w:ascii="微软雅黑" w:eastAsia="微软雅黑" w:hAnsi="微软雅黑" w:hint="eastAsia"/>
          <w:color w:val="6A6A6A"/>
          <w:sz w:val="23"/>
          <w:szCs w:val="23"/>
        </w:rPr>
        <w:br/>
        <w:t xml:space="preserve">　　（三）采取弄虚作假、谎报等不正当手段骗取设立技能大师工作室的；</w:t>
      </w:r>
      <w:r>
        <w:rPr>
          <w:rFonts w:ascii="微软雅黑" w:eastAsia="微软雅黑" w:hAnsi="微软雅黑" w:hint="eastAsia"/>
          <w:color w:val="6A6A6A"/>
          <w:sz w:val="23"/>
          <w:szCs w:val="23"/>
        </w:rPr>
        <w:br/>
        <w:t xml:space="preserve">　　（四）非法挪用省、市级财政专项补助资金的；</w:t>
      </w:r>
      <w:r>
        <w:rPr>
          <w:rFonts w:ascii="微软雅黑" w:eastAsia="微软雅黑" w:hAnsi="微软雅黑" w:hint="eastAsia"/>
          <w:color w:val="6A6A6A"/>
          <w:sz w:val="23"/>
          <w:szCs w:val="23"/>
        </w:rPr>
        <w:br/>
        <w:t xml:space="preserve">　　（五）其他应当取消技能大师工作室的行为。</w:t>
      </w:r>
      <w:r>
        <w:rPr>
          <w:rFonts w:ascii="微软雅黑" w:eastAsia="微软雅黑" w:hAnsi="微软雅黑" w:hint="eastAsia"/>
          <w:color w:val="6A6A6A"/>
          <w:sz w:val="23"/>
          <w:szCs w:val="23"/>
        </w:rPr>
        <w:br/>
        <w:t xml:space="preserve">　　第十三条 技能大师工作室要加强知识产权管理，对所产生的专利、技术标准、技术秘密、非专利技术成果以及与技术成果开发内容有关的著作权、专利权等权属依法予以约定和保护。</w:t>
      </w:r>
    </w:p>
    <w:p w14:paraId="38E7516D"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w:t>
      </w:r>
      <w:r>
        <w:rPr>
          <w:rFonts w:ascii="微软雅黑" w:eastAsia="微软雅黑" w:hAnsi="微软雅黑" w:hint="eastAsia"/>
          <w:color w:val="6A6A6A"/>
          <w:sz w:val="30"/>
          <w:szCs w:val="30"/>
        </w:rPr>
        <w:t xml:space="preserve">　第五章经费管理与监督</w:t>
      </w:r>
    </w:p>
    <w:p w14:paraId="1D2B965F" w14:textId="77777777" w:rsidR="00893EAC" w:rsidRDefault="00893EAC" w:rsidP="00893EAC">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第十四条 市级人才专项资金对技能大师工作室建设项目给予15万元的一次性建设补助。县区级财政或主管部门应安排专项资金对技能大师工作室技术技能创新研发等活动给予补助。行业、企业或学校要为工作室提供办公场所、实</w:t>
      </w:r>
      <w:proofErr w:type="gramStart"/>
      <w:r>
        <w:rPr>
          <w:rFonts w:ascii="微软雅黑" w:eastAsia="微软雅黑" w:hAnsi="微软雅黑" w:hint="eastAsia"/>
          <w:color w:val="6A6A6A"/>
          <w:sz w:val="23"/>
          <w:szCs w:val="23"/>
        </w:rPr>
        <w:t>训设备</w:t>
      </w:r>
      <w:proofErr w:type="gramEnd"/>
      <w:r>
        <w:rPr>
          <w:rFonts w:ascii="微软雅黑" w:eastAsia="微软雅黑" w:hAnsi="微软雅黑" w:hint="eastAsia"/>
          <w:color w:val="6A6A6A"/>
          <w:sz w:val="23"/>
          <w:szCs w:val="23"/>
        </w:rPr>
        <w:t>等必要的工作条件，并安排技能大师带徒津贴、研究（攻关）项目补贴以及日常工作经费等。县区政府部门安排的配套资金及行业企业支持资金、项目建设单位自筹资金不得低于市级财政补助资金。</w:t>
      </w:r>
      <w:r>
        <w:rPr>
          <w:rFonts w:ascii="微软雅黑" w:eastAsia="微软雅黑" w:hAnsi="微软雅黑" w:hint="eastAsia"/>
          <w:color w:val="6A6A6A"/>
          <w:sz w:val="23"/>
          <w:szCs w:val="23"/>
        </w:rPr>
        <w:br/>
        <w:t xml:space="preserve">　　第十五条 技能大师工作室市级补助资金主要用于以下支出:</w:t>
      </w:r>
      <w:r>
        <w:rPr>
          <w:rFonts w:ascii="微软雅黑" w:eastAsia="微软雅黑" w:hAnsi="微软雅黑" w:hint="eastAsia"/>
          <w:color w:val="6A6A6A"/>
          <w:sz w:val="23"/>
          <w:szCs w:val="23"/>
        </w:rPr>
        <w:br/>
        <w:t xml:space="preserve">　　（一）技能大师工作室技术革新项目研发经费。包括项目所需的原材料、教材、电子设备、小型设备、辅助工具、实验研究的补助等；</w:t>
      </w:r>
      <w:r>
        <w:rPr>
          <w:rFonts w:ascii="微软雅黑" w:eastAsia="微软雅黑" w:hAnsi="微软雅黑" w:hint="eastAsia"/>
          <w:color w:val="6A6A6A"/>
          <w:sz w:val="23"/>
          <w:szCs w:val="23"/>
        </w:rPr>
        <w:br/>
      </w:r>
      <w:r>
        <w:rPr>
          <w:rFonts w:ascii="微软雅黑" w:eastAsia="微软雅黑" w:hAnsi="微软雅黑" w:hint="eastAsia"/>
          <w:color w:val="6A6A6A"/>
          <w:sz w:val="23"/>
          <w:szCs w:val="23"/>
        </w:rPr>
        <w:lastRenderedPageBreak/>
        <w:t xml:space="preserve">　　（二）技能大师工作室成员组织开展或参加的与本行业、本专业领域密切相关的国内外技术交流、考察学习、培训等费用（含差旅费、咨询费、培训费、食宿费、交通费等）；</w:t>
      </w:r>
      <w:r>
        <w:rPr>
          <w:rFonts w:ascii="微软雅黑" w:eastAsia="微软雅黑" w:hAnsi="微软雅黑" w:hint="eastAsia"/>
          <w:color w:val="6A6A6A"/>
          <w:sz w:val="23"/>
          <w:szCs w:val="23"/>
        </w:rPr>
        <w:br/>
        <w:t xml:space="preserve">　　（三）技能成果检测认定与奖励、科技创新与发明等费用；</w:t>
      </w:r>
      <w:r>
        <w:rPr>
          <w:rFonts w:ascii="微软雅黑" w:eastAsia="微软雅黑" w:hAnsi="微软雅黑" w:hint="eastAsia"/>
          <w:color w:val="6A6A6A"/>
          <w:sz w:val="23"/>
          <w:szCs w:val="23"/>
        </w:rPr>
        <w:br/>
        <w:t xml:space="preserve">　　（四）开展技艺传承，培养青年技能人才所需的课时费、劳务费等费用（含评审费、专利申请费、版面费等)。</w:t>
      </w:r>
      <w:r>
        <w:rPr>
          <w:rFonts w:ascii="微软雅黑" w:eastAsia="微软雅黑" w:hAnsi="微软雅黑" w:hint="eastAsia"/>
          <w:color w:val="6A6A6A"/>
          <w:sz w:val="23"/>
          <w:szCs w:val="23"/>
        </w:rPr>
        <w:br/>
        <w:t xml:space="preserve">　　第十六条 项目建设单位要严格按照规定使用专项补助资金，不得擅自改变资金性质和用途，不得挪用、挤占，防止虚列支出的现象发生，确保资金使用的安全、规范、有效。</w:t>
      </w:r>
      <w:r>
        <w:rPr>
          <w:rFonts w:ascii="微软雅黑" w:eastAsia="微软雅黑" w:hAnsi="微软雅黑" w:hint="eastAsia"/>
          <w:color w:val="6A6A6A"/>
          <w:sz w:val="23"/>
          <w:szCs w:val="23"/>
        </w:rPr>
        <w:br/>
        <w:t xml:space="preserve">　　第十七条 市委组织部、人力资源社会保障局按照国家、省和市有关规定，加强对建设项目资金管理使用情况的监督检查。项目建设完成后，委托第三方进行专项补助资金绩效评价。</w:t>
      </w:r>
      <w:r>
        <w:rPr>
          <w:rFonts w:ascii="微软雅黑" w:eastAsia="微软雅黑" w:hAnsi="微软雅黑" w:hint="eastAsia"/>
          <w:color w:val="6A6A6A"/>
          <w:sz w:val="23"/>
          <w:szCs w:val="23"/>
        </w:rPr>
        <w:br/>
        <w:t xml:space="preserve">　　第十八条 各县区委组织部、人力资源社会保障局和技能大师工作室主管单位要切实加强对项目建设和资金使用的监管，确保项目预算执行及时、到位。</w:t>
      </w:r>
      <w:r>
        <w:rPr>
          <w:rFonts w:ascii="微软雅黑" w:eastAsia="微软雅黑" w:hAnsi="微软雅黑" w:hint="eastAsia"/>
          <w:color w:val="6A6A6A"/>
          <w:sz w:val="23"/>
          <w:szCs w:val="23"/>
        </w:rPr>
        <w:br/>
        <w:t xml:space="preserve">　　第十九条 各县区委组织部、人力资源社会保障局要建立技能大师工作室专项补助资金“谁使用，谁负责”的责任追究机制。对滞留、截留、挤占、挪用、虚列、套取、私分补助资金等行为，按照《预算法》《财政违法行为处罚处分条例 》等国家有关规定追究法律责任。</w:t>
      </w:r>
    </w:p>
    <w:p w14:paraId="2C3470D6" w14:textId="77777777" w:rsidR="00893EAC" w:rsidRDefault="00893EAC" w:rsidP="00893EAC">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w:t>
      </w:r>
      <w:r>
        <w:rPr>
          <w:rFonts w:ascii="微软雅黑" w:eastAsia="微软雅黑" w:hAnsi="微软雅黑" w:hint="eastAsia"/>
          <w:color w:val="6A6A6A"/>
          <w:sz w:val="30"/>
          <w:szCs w:val="30"/>
        </w:rPr>
        <w:t xml:space="preserve">　第六章 附 则</w:t>
      </w:r>
    </w:p>
    <w:p w14:paraId="36C96E29" w14:textId="1576FFDF" w:rsidR="006E2172" w:rsidRPr="001508EB" w:rsidRDefault="00893EAC" w:rsidP="001508EB">
      <w:pPr>
        <w:pStyle w:val="a7"/>
        <w:shd w:val="clear" w:color="auto" w:fill="FFFFFF"/>
        <w:spacing w:before="0" w:beforeAutospacing="0" w:after="0" w:afterAutospacing="0" w:line="375" w:lineRule="atLeast"/>
        <w:rPr>
          <w:rFonts w:ascii="微软雅黑" w:eastAsia="微软雅黑" w:hAnsi="微软雅黑"/>
          <w:color w:val="6A6A6A"/>
          <w:sz w:val="23"/>
          <w:szCs w:val="23"/>
        </w:rPr>
      </w:pPr>
      <w:r>
        <w:rPr>
          <w:rFonts w:ascii="微软雅黑" w:eastAsia="微软雅黑" w:hAnsi="微软雅黑" w:hint="eastAsia"/>
          <w:color w:val="6A6A6A"/>
          <w:sz w:val="23"/>
          <w:szCs w:val="23"/>
        </w:rPr>
        <w:t xml:space="preserve">　　第二十条 本办法由市人力资源社会保障局负责解释。</w:t>
      </w:r>
      <w:r>
        <w:rPr>
          <w:rFonts w:ascii="微软雅黑" w:eastAsia="微软雅黑" w:hAnsi="微软雅黑" w:hint="eastAsia"/>
          <w:color w:val="6A6A6A"/>
          <w:sz w:val="23"/>
          <w:szCs w:val="23"/>
        </w:rPr>
        <w:br/>
        <w:t xml:space="preserve">　　</w:t>
      </w:r>
      <w:proofErr w:type="gramStart"/>
      <w:r>
        <w:rPr>
          <w:rFonts w:ascii="微软雅黑" w:eastAsia="微软雅黑" w:hAnsi="微软雅黑" w:hint="eastAsia"/>
          <w:color w:val="6A6A6A"/>
          <w:sz w:val="23"/>
          <w:szCs w:val="23"/>
        </w:rPr>
        <w:t>笫</w:t>
      </w:r>
      <w:proofErr w:type="gramEnd"/>
      <w:r>
        <w:rPr>
          <w:rFonts w:ascii="微软雅黑" w:eastAsia="微软雅黑" w:hAnsi="微软雅黑" w:hint="eastAsia"/>
          <w:color w:val="6A6A6A"/>
          <w:sz w:val="23"/>
          <w:szCs w:val="23"/>
        </w:rPr>
        <w:t>二十一条 本办法自2019年1月1日起施行，有效期至2023年12月31日。</w:t>
      </w:r>
      <w:bookmarkStart w:id="0" w:name="_GoBack"/>
      <w:bookmarkEnd w:id="0"/>
    </w:p>
    <w:sectPr w:rsidR="006E2172" w:rsidRPr="00150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4EF8" w14:textId="77777777" w:rsidR="00591D06" w:rsidRDefault="00591D06" w:rsidP="00893EAC">
      <w:r>
        <w:separator/>
      </w:r>
    </w:p>
  </w:endnote>
  <w:endnote w:type="continuationSeparator" w:id="0">
    <w:p w14:paraId="2320FA7D" w14:textId="77777777" w:rsidR="00591D06" w:rsidRDefault="00591D06" w:rsidP="0089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39E7" w14:textId="77777777" w:rsidR="00591D06" w:rsidRDefault="00591D06" w:rsidP="00893EAC">
      <w:r>
        <w:separator/>
      </w:r>
    </w:p>
  </w:footnote>
  <w:footnote w:type="continuationSeparator" w:id="0">
    <w:p w14:paraId="536446B0" w14:textId="77777777" w:rsidR="00591D06" w:rsidRDefault="00591D06" w:rsidP="0089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99"/>
    <w:rsid w:val="001508EB"/>
    <w:rsid w:val="00591D06"/>
    <w:rsid w:val="006E2172"/>
    <w:rsid w:val="00893EAC"/>
    <w:rsid w:val="0093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4AFC"/>
  <w15:chartTrackingRefBased/>
  <w15:docId w15:val="{B94D1918-D6BB-4BC7-9F25-AE74C98E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E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EAC"/>
    <w:rPr>
      <w:sz w:val="18"/>
      <w:szCs w:val="18"/>
    </w:rPr>
  </w:style>
  <w:style w:type="paragraph" w:styleId="a5">
    <w:name w:val="footer"/>
    <w:basedOn w:val="a"/>
    <w:link w:val="a6"/>
    <w:uiPriority w:val="99"/>
    <w:unhideWhenUsed/>
    <w:rsid w:val="00893EAC"/>
    <w:pPr>
      <w:tabs>
        <w:tab w:val="center" w:pos="4153"/>
        <w:tab w:val="right" w:pos="8306"/>
      </w:tabs>
      <w:snapToGrid w:val="0"/>
      <w:jc w:val="left"/>
    </w:pPr>
    <w:rPr>
      <w:sz w:val="18"/>
      <w:szCs w:val="18"/>
    </w:rPr>
  </w:style>
  <w:style w:type="character" w:customStyle="1" w:styleId="a6">
    <w:name w:val="页脚 字符"/>
    <w:basedOn w:val="a0"/>
    <w:link w:val="a5"/>
    <w:uiPriority w:val="99"/>
    <w:rsid w:val="00893EAC"/>
    <w:rPr>
      <w:sz w:val="18"/>
      <w:szCs w:val="18"/>
    </w:rPr>
  </w:style>
  <w:style w:type="paragraph" w:styleId="a7">
    <w:name w:val="Normal (Web)"/>
    <w:basedOn w:val="a"/>
    <w:uiPriority w:val="99"/>
    <w:unhideWhenUsed/>
    <w:rsid w:val="00893E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390">
      <w:bodyDiv w:val="1"/>
      <w:marLeft w:val="0"/>
      <w:marRight w:val="0"/>
      <w:marTop w:val="0"/>
      <w:marBottom w:val="0"/>
      <w:divBdr>
        <w:top w:val="none" w:sz="0" w:space="0" w:color="auto"/>
        <w:left w:val="none" w:sz="0" w:space="0" w:color="auto"/>
        <w:bottom w:val="none" w:sz="0" w:space="0" w:color="auto"/>
        <w:right w:val="none" w:sz="0" w:space="0" w:color="auto"/>
      </w:divBdr>
      <w:divsChild>
        <w:div w:id="1693800394">
          <w:marLeft w:val="0"/>
          <w:marRight w:val="0"/>
          <w:marTop w:val="300"/>
          <w:marBottom w:val="0"/>
          <w:divBdr>
            <w:top w:val="none" w:sz="0" w:space="0" w:color="auto"/>
            <w:left w:val="none" w:sz="0" w:space="0" w:color="auto"/>
            <w:bottom w:val="none" w:sz="0" w:space="0" w:color="auto"/>
            <w:right w:val="none" w:sz="0" w:space="0" w:color="auto"/>
          </w:divBdr>
          <w:divsChild>
            <w:div w:id="2997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2019-01-21T10:33:00Z</dcterms:created>
  <dcterms:modified xsi:type="dcterms:W3CDTF">2019-01-21T10:34:00Z</dcterms:modified>
</cp:coreProperties>
</file>