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67832F" w14:textId="77777777" w:rsidR="007E0E24" w:rsidRPr="007E0E24" w:rsidRDefault="007E0E24" w:rsidP="007E0E24">
      <w:pPr>
        <w:widowControl/>
        <w:jc w:val="left"/>
        <w:rPr>
          <w:rFonts w:ascii="Times New Roman" w:eastAsia="Times New Roman" w:hAnsi="Times New Roman" w:cs="Times New Roman"/>
          <w:kern w:val="0"/>
        </w:rPr>
      </w:pPr>
      <w:r w:rsidRPr="007E0E24">
        <w:rPr>
          <w:rFonts w:ascii="宋体" w:eastAsia="宋体" w:hAnsi="宋体" w:cs="Times New Roman" w:hint="eastAsia"/>
          <w:b/>
          <w:bCs/>
          <w:color w:val="FF6600"/>
          <w:kern w:val="0"/>
          <w:sz w:val="27"/>
          <w:szCs w:val="27"/>
          <w:shd w:val="clear" w:color="auto" w:fill="FFFFFF"/>
        </w:rPr>
        <w:t>泉港区人民政府</w:t>
      </w:r>
      <w:bookmarkStart w:id="0" w:name="_GoBack"/>
      <w:r w:rsidRPr="007E0E24">
        <w:rPr>
          <w:rFonts w:ascii="宋体" w:eastAsia="宋体" w:hAnsi="宋体" w:cs="Times New Roman" w:hint="eastAsia"/>
          <w:b/>
          <w:bCs/>
          <w:color w:val="FF6600"/>
          <w:kern w:val="0"/>
          <w:sz w:val="27"/>
          <w:szCs w:val="27"/>
          <w:shd w:val="clear" w:color="auto" w:fill="FFFFFF"/>
        </w:rPr>
        <w:t>关于在全区重点培育科技小巨人企业的实施意见</w:t>
      </w:r>
      <w:bookmarkEnd w:id="0"/>
    </w:p>
    <w:p w14:paraId="76206D73" w14:textId="77777777" w:rsidR="007E0E24" w:rsidRPr="007E0E24" w:rsidRDefault="007E0E24" w:rsidP="007E0E24">
      <w:pPr>
        <w:widowControl/>
        <w:shd w:val="clear" w:color="auto" w:fill="FFFFFF"/>
        <w:spacing w:before="225" w:line="360" w:lineRule="atLeast"/>
        <w:jc w:val="center"/>
        <w:rPr>
          <w:rFonts w:ascii="宋体" w:eastAsia="宋体" w:hAnsi="宋体" w:cs="Times New Roman"/>
          <w:color w:val="333333"/>
          <w:kern w:val="0"/>
          <w:sz w:val="21"/>
          <w:szCs w:val="21"/>
        </w:rPr>
      </w:pPr>
      <w:r w:rsidRPr="007E0E24">
        <w:rPr>
          <w:rFonts w:ascii="宋体" w:eastAsia="宋体" w:hAnsi="宋体" w:cs="Times New Roman" w:hint="eastAsia"/>
          <w:color w:val="333333"/>
          <w:kern w:val="0"/>
          <w:sz w:val="21"/>
          <w:szCs w:val="21"/>
        </w:rPr>
        <w:t>港政综〔2013〕230号</w:t>
      </w:r>
    </w:p>
    <w:p w14:paraId="5513CAA3" w14:textId="77777777" w:rsidR="007E0E24" w:rsidRPr="007E0E24" w:rsidRDefault="007E0E24" w:rsidP="007E0E24">
      <w:pPr>
        <w:widowControl/>
        <w:shd w:val="clear" w:color="auto" w:fill="FFFFFF"/>
        <w:spacing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 </w:t>
      </w:r>
    </w:p>
    <w:p w14:paraId="7351C4C6" w14:textId="77777777" w:rsidR="007E0E24" w:rsidRPr="007E0E24" w:rsidRDefault="007E0E24" w:rsidP="007E0E24">
      <w:pPr>
        <w:widowControl/>
        <w:shd w:val="clear" w:color="auto" w:fill="FFFFFF"/>
        <w:spacing w:line="360" w:lineRule="atLeast"/>
        <w:jc w:val="center"/>
        <w:rPr>
          <w:rFonts w:ascii="宋体" w:eastAsia="宋体" w:hAnsi="宋体" w:cs="Times New Roman" w:hint="eastAsia"/>
          <w:color w:val="333333"/>
          <w:kern w:val="0"/>
          <w:sz w:val="21"/>
          <w:szCs w:val="21"/>
        </w:rPr>
      </w:pPr>
      <w:r w:rsidRPr="007E0E24">
        <w:rPr>
          <w:rFonts w:ascii="宋体" w:eastAsia="宋体" w:hAnsi="宋体" w:cs="Times New Roman" w:hint="eastAsia"/>
          <w:b/>
          <w:bCs/>
          <w:color w:val="333333"/>
          <w:kern w:val="0"/>
          <w:sz w:val="21"/>
          <w:szCs w:val="21"/>
        </w:rPr>
        <w:t>泉港区人民政府关于</w:t>
      </w:r>
    </w:p>
    <w:p w14:paraId="22F6DFE9" w14:textId="77777777" w:rsidR="007E0E24" w:rsidRPr="007E0E24" w:rsidRDefault="007E0E24" w:rsidP="007E0E24">
      <w:pPr>
        <w:widowControl/>
        <w:shd w:val="clear" w:color="auto" w:fill="FFFFFF"/>
        <w:spacing w:line="360" w:lineRule="atLeast"/>
        <w:jc w:val="center"/>
        <w:rPr>
          <w:rFonts w:ascii="宋体" w:eastAsia="宋体" w:hAnsi="宋体" w:cs="Times New Roman" w:hint="eastAsia"/>
          <w:color w:val="333333"/>
          <w:kern w:val="0"/>
          <w:sz w:val="21"/>
          <w:szCs w:val="21"/>
        </w:rPr>
      </w:pPr>
      <w:r w:rsidRPr="007E0E24">
        <w:rPr>
          <w:rFonts w:ascii="宋体" w:eastAsia="宋体" w:hAnsi="宋体" w:cs="Times New Roman" w:hint="eastAsia"/>
          <w:b/>
          <w:bCs/>
          <w:color w:val="333333"/>
          <w:kern w:val="0"/>
          <w:sz w:val="21"/>
          <w:szCs w:val="21"/>
        </w:rPr>
        <w:t>在全区重点培育科技小巨人企业的实施意见</w:t>
      </w:r>
    </w:p>
    <w:p w14:paraId="73F8AA69"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   </w:t>
      </w:r>
    </w:p>
    <w:p w14:paraId="25AE63E6"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各镇人民政府，山腰街道办事处，山腰盐场，区直各单位，石化产业开发建设公司、投资总公司、建设发展公司、石化工业区建设发展公司，各大企业：</w:t>
      </w:r>
    </w:p>
    <w:p w14:paraId="2E3B3BCF"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为深入贯彻落实中共泉港区委、泉港区人民政府《关于印发泉港区鼓励促进企业自主创新若干规定》（泉港委〔2011〕60号）、《关于加快建设具有区域特色科技创新体系的实施意见》（泉港委发〔2012〕3号）精神，在全区重点培育一批科技小巨人企业，形成有力支撑我区重点产业发展的科技小巨人企业集群，助推民营企业“二次创业”，根据《泉州市人民政府关于在全市重点培育科技小巨人企业的若干意见》（泉政文〔2013〕191号）要求，结合我区实际，经区政府研究，制定本意见。</w:t>
      </w:r>
    </w:p>
    <w:p w14:paraId="31723217"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一、工作目标</w:t>
      </w:r>
    </w:p>
    <w:p w14:paraId="04F8778C" w14:textId="77777777" w:rsidR="007E0E24" w:rsidRPr="007E0E24" w:rsidRDefault="007E0E24" w:rsidP="007E0E24">
      <w:pPr>
        <w:widowControl/>
        <w:shd w:val="clear" w:color="auto" w:fill="FFFFFF"/>
        <w:spacing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b/>
          <w:bCs/>
          <w:color w:val="333333"/>
          <w:kern w:val="0"/>
          <w:sz w:val="21"/>
          <w:szCs w:val="21"/>
        </w:rPr>
        <w:t>（一）总体要求。</w:t>
      </w:r>
      <w:r w:rsidRPr="007E0E24">
        <w:rPr>
          <w:rFonts w:ascii="宋体" w:eastAsia="宋体" w:hAnsi="宋体" w:cs="Times New Roman" w:hint="eastAsia"/>
          <w:color w:val="333333"/>
          <w:kern w:val="0"/>
          <w:sz w:val="21"/>
          <w:szCs w:val="21"/>
        </w:rPr>
        <w:t>以实施创新驱动发展战略为主题，以推进民营企业“二次创业”为主线，以构筑高端产业和自主创新高地为目标，以增强企业创新能力为核心，以体制机制创新为动力，进一步加大政策扶持力度，聚集国内外科技资源，激发全社会创新创业活力，培育发展一批科技水平高、竞争实力强的科技小巨人企业，全面提升发展的质量、效益、水平，促进全区产业结构调整和经济发展。 </w:t>
      </w:r>
    </w:p>
    <w:p w14:paraId="4B0EEB82" w14:textId="77777777" w:rsidR="007E0E24" w:rsidRPr="007E0E24" w:rsidRDefault="007E0E24" w:rsidP="007E0E24">
      <w:pPr>
        <w:widowControl/>
        <w:shd w:val="clear" w:color="auto" w:fill="FFFFFF"/>
        <w:spacing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b/>
          <w:bCs/>
          <w:color w:val="333333"/>
          <w:kern w:val="0"/>
          <w:sz w:val="21"/>
          <w:szCs w:val="21"/>
        </w:rPr>
        <w:t>（二）发展目标。</w:t>
      </w:r>
      <w:r w:rsidRPr="007E0E24">
        <w:rPr>
          <w:rFonts w:ascii="宋体" w:eastAsia="宋体" w:hAnsi="宋体" w:cs="Times New Roman" w:hint="eastAsia"/>
          <w:color w:val="333333"/>
          <w:kern w:val="0"/>
          <w:sz w:val="21"/>
          <w:szCs w:val="21"/>
        </w:rPr>
        <w:t>通过重点培育科技小巨人企业，促进其在研发投入、产学研结合、知识产权、创新示范等方面得到转型提升，带动发展石油化工、新材料、粮油食品加工、纺织、海洋生物以及机械制造等一批创新型产业集群。2013年认定科技小巨人企业10家以上（其中市级8家以上），2014年认定科技小巨人企业10家以上（其中市级4家以上），2015年认定科技小巨人企业10家以上（其中市级4家以上），至2015年累计认定科技小巨人企业30家以上。</w:t>
      </w:r>
    </w:p>
    <w:p w14:paraId="166DB62B"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二、培育与认定标准</w:t>
      </w:r>
    </w:p>
    <w:p w14:paraId="09F23E3B"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通过科学确定培育科技小巨人企业的筛选标准，促进培育对象壮大发展。</w:t>
      </w:r>
    </w:p>
    <w:p w14:paraId="2D4A1029" w14:textId="77777777" w:rsidR="007E0E24" w:rsidRPr="007E0E24" w:rsidRDefault="007E0E24" w:rsidP="007E0E24">
      <w:pPr>
        <w:widowControl/>
        <w:shd w:val="clear" w:color="auto" w:fill="FFFFFF"/>
        <w:spacing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b/>
          <w:bCs/>
          <w:color w:val="333333"/>
          <w:kern w:val="0"/>
          <w:sz w:val="21"/>
          <w:szCs w:val="21"/>
        </w:rPr>
        <w:t>（一）培育企业标准</w:t>
      </w:r>
    </w:p>
    <w:p w14:paraId="0D5ACD9D"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1.共性标准：（1）研究开发费用投入占销售收入总额1.5%以上；（2）高新技术产品收入占企业当年总收入15%以上；（3）拥有独立的技术研发部门，大专以上科技人员不低于职工总数的10%；（4）拥有自主知识产权；（5）企业资产负债率一般不高于70%，并有良好的信用等级。</w:t>
      </w:r>
    </w:p>
    <w:p w14:paraId="6F8EB5E8"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lastRenderedPageBreak/>
        <w:t>2.产业标准：规模位居石油化工、纺织鞋服、建筑建材、食品饮料、机械装备、光电信息、节能环保、新能源、新材料、生物医药等产业前列的科技型企业。</w:t>
      </w:r>
    </w:p>
    <w:p w14:paraId="50E5761F"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（1）石油化工。产值在1亿元以上，或产业集聚度较高、规模较大、具有龙头带动作用的知名企业。</w:t>
      </w:r>
    </w:p>
    <w:p w14:paraId="0DF17262"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（2）纺织鞋服。产值1亿元以上，或细分领域有较大影响力的知名企业。</w:t>
      </w:r>
    </w:p>
    <w:p w14:paraId="02BDDB65"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（3）建筑材料。产值1亿元以上，或水泥、钢铁行业产能大且属于国家鼓励类的生产企业；或细分领域有较大影响力的知名企业。</w:t>
      </w:r>
    </w:p>
    <w:p w14:paraId="4896513C"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（4）食品饮料。休闲食品、饮料、茶叶、粮油加工企业等产值5000万元以上，或细分领域有较大影响力的知名企业。</w:t>
      </w:r>
    </w:p>
    <w:p w14:paraId="49B756B2"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   （5）工艺制品。产值在2000万元以上，或陶瓷、石雕、木雕、藤铁等产值较大、工艺特色优势明显的知名企业。</w:t>
      </w:r>
    </w:p>
    <w:p w14:paraId="1985CABA"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   （6）机械装备。产值在1亿元以上，或细分领域有影响力的知名企业。</w:t>
      </w:r>
    </w:p>
    <w:p w14:paraId="3CBEEFCD"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   （7）光电信息。产值在3000万元以上，或发展前景较好的知名企业。</w:t>
      </w:r>
    </w:p>
    <w:p w14:paraId="04026817"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   （8）纸业印刷。产值在1亿元以上，或发展前景较好的知名企业。</w:t>
      </w:r>
    </w:p>
    <w:p w14:paraId="6B5FDAF2"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   （9）生物医药。产值在2500万元以上，或发展前景较好的知名企业。</w:t>
      </w:r>
    </w:p>
    <w:p w14:paraId="575F76A4"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   （10）节能环保。产值在5000万元以上，或发展前景较好的知名企业。</w:t>
      </w:r>
    </w:p>
    <w:p w14:paraId="04574DD2"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   （11）新能源。产值在1亿元以上，或发展前景较好的知名企业。</w:t>
      </w:r>
    </w:p>
    <w:p w14:paraId="24511568"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（12）新材料。产值在5000万元以上，或发展前景较好的知名企业。</w:t>
      </w:r>
    </w:p>
    <w:p w14:paraId="55AEFF63" w14:textId="77777777" w:rsidR="007E0E24" w:rsidRPr="007E0E24" w:rsidRDefault="007E0E24" w:rsidP="007E0E24">
      <w:pPr>
        <w:widowControl/>
        <w:shd w:val="clear" w:color="auto" w:fill="FFFFFF"/>
        <w:spacing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b/>
          <w:bCs/>
          <w:color w:val="333333"/>
          <w:kern w:val="0"/>
          <w:sz w:val="21"/>
          <w:szCs w:val="21"/>
        </w:rPr>
        <w:t>（二）认定标准</w:t>
      </w:r>
    </w:p>
    <w:p w14:paraId="3588532E"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1.制造业企业的大专以上科技人员不低于职工总数的20%，软件或服务业企业的大专以上科技人员不低于职工总数的50%；</w:t>
      </w:r>
    </w:p>
    <w:p w14:paraId="49EBD9DC"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2.企业每年的研究开发费用投入不低于销售收入总额的2%；</w:t>
      </w:r>
    </w:p>
    <w:p w14:paraId="7811B811"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3.拥有自主知识产权达2项以上，拥有1项以上达到国内外同类产品水平的标准或1项同行业中的知名品牌；</w:t>
      </w:r>
    </w:p>
    <w:p w14:paraId="5ACF5AA3"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4.企业应有研发机构、研发计划及与之相适应的知识产权保护、人才培育（含引进）、创新驱动等运行机制，企业管理制度较为完善规范；</w:t>
      </w:r>
    </w:p>
    <w:p w14:paraId="5FD4FFCC"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5.企业资产负债率一般不高于60%，有较好的信用等级与融资能力；</w:t>
      </w:r>
    </w:p>
    <w:p w14:paraId="0966141F"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6.企业培育期内产品销售收入或净利润的平均增长率达20%以上，其中高新技术产品收入占企业当年总收入增加至25%以上；</w:t>
      </w:r>
    </w:p>
    <w:p w14:paraId="2C1EA907"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7.企业拥有优秀的科技创新人才与良好的经营管理、技术创新团队。</w:t>
      </w:r>
    </w:p>
    <w:p w14:paraId="2F473B20"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8、当年度未发生安全生产、环保事故。</w:t>
      </w:r>
    </w:p>
    <w:p w14:paraId="5AB3FC56"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三、重点任务</w:t>
      </w:r>
    </w:p>
    <w:p w14:paraId="45E4548C"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建立完善培育科技小巨人企业的科技创新服务体系，进一步完善科技创新公共技术服务平台，建设一批科技创新中介服务机构，探索科技金融紧密结合机制，推动创新要素向培育企业集聚，财政科技经费主要投向培育企业、科技创新平台主要建在培育企业、高层次人才主要引向培育企业，培育形成一批拥有核心技术的科技小巨人企业。</w:t>
      </w:r>
    </w:p>
    <w:p w14:paraId="638C4883" w14:textId="77777777" w:rsidR="007E0E24" w:rsidRPr="007E0E24" w:rsidRDefault="007E0E24" w:rsidP="007E0E24">
      <w:pPr>
        <w:widowControl/>
        <w:shd w:val="clear" w:color="auto" w:fill="FFFFFF"/>
        <w:spacing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b/>
          <w:bCs/>
          <w:color w:val="333333"/>
          <w:kern w:val="0"/>
          <w:sz w:val="21"/>
          <w:szCs w:val="21"/>
        </w:rPr>
        <w:t>（一）培育壮大科技型企业群体</w:t>
      </w:r>
    </w:p>
    <w:p w14:paraId="17C6B8A3" w14:textId="77777777" w:rsidR="007E0E24" w:rsidRPr="007E0E24" w:rsidRDefault="007E0E24" w:rsidP="007E0E24">
      <w:pPr>
        <w:widowControl/>
        <w:shd w:val="clear" w:color="auto" w:fill="FFFFFF"/>
        <w:spacing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b/>
          <w:bCs/>
          <w:color w:val="333333"/>
          <w:kern w:val="0"/>
          <w:sz w:val="21"/>
          <w:szCs w:val="21"/>
        </w:rPr>
        <w:t>1.实施初创期科技型企业培育工程。</w:t>
      </w:r>
      <w:r w:rsidRPr="007E0E24">
        <w:rPr>
          <w:rFonts w:ascii="宋体" w:eastAsia="宋体" w:hAnsi="宋体" w:cs="Times New Roman" w:hint="eastAsia"/>
          <w:color w:val="333333"/>
          <w:kern w:val="0"/>
          <w:sz w:val="21"/>
          <w:szCs w:val="21"/>
        </w:rPr>
        <w:t>深入实施区政府《鼓励促进企业自主创新若干规定》、《扶持小型和微型企业发展实施意见》以及《鼓励扶持自主知识产权若干规定（试行）》等一系列政策，完善创新创业环境，大力开展科技招商，通过吸引国内外人才来泉港创业、与国内外科研院所、高校、大型企业合作组建企业等途径，促进初创期科技型中小企业企业迅速壮大。力争到2015年，全区培育扶持省级以上科技型企业40家以上，初步形成支撑区域高技术产业发展的基础。（牵头单位：区科技局、发改局、经贸局，配合单位：区人社局、各镇（街道）、建发公司、石化产业开发建设公司、石化工业区建设公司）</w:t>
      </w:r>
    </w:p>
    <w:p w14:paraId="3DA60009" w14:textId="77777777" w:rsidR="007E0E24" w:rsidRPr="007E0E24" w:rsidRDefault="007E0E24" w:rsidP="007E0E24">
      <w:pPr>
        <w:widowControl/>
        <w:shd w:val="clear" w:color="auto" w:fill="FFFFFF"/>
        <w:spacing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b/>
          <w:bCs/>
          <w:color w:val="333333"/>
          <w:kern w:val="0"/>
          <w:sz w:val="21"/>
          <w:szCs w:val="21"/>
        </w:rPr>
        <w:t>2.实施壮大期科技型企业培育工程。</w:t>
      </w:r>
      <w:r w:rsidRPr="007E0E24">
        <w:rPr>
          <w:rFonts w:ascii="宋体" w:eastAsia="宋体" w:hAnsi="宋体" w:cs="Times New Roman" w:hint="eastAsia"/>
          <w:color w:val="333333"/>
          <w:kern w:val="0"/>
          <w:sz w:val="21"/>
          <w:szCs w:val="21"/>
        </w:rPr>
        <w:t>通过深入实施“企业自主创新三年行动”、“五清零、六提升”、“回归创业”等专项行动，引导企业设立研发机构，加大研发投入，推动企业加强技术创新，促进现有中小企业转型升级，推进一批科技型中小企业实现快速发展。力争到2015年，新增销售收入超3000万元科技型企业12家以上，总数达30家；全区高新技术企业超12家，省级以上创新型（试点）企业超6家。（牵头单位：区发改局、经贸局、科技局，配合单位：区财政局、人社局、国税局、地税局、各镇（街道）、建发公司、石化产业开发建设公司、石化工业区建设公司）</w:t>
      </w:r>
    </w:p>
    <w:p w14:paraId="245C234D" w14:textId="77777777" w:rsidR="007E0E24" w:rsidRPr="007E0E24" w:rsidRDefault="007E0E24" w:rsidP="007E0E24">
      <w:pPr>
        <w:widowControl/>
        <w:shd w:val="clear" w:color="auto" w:fill="FFFFFF"/>
        <w:spacing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b/>
          <w:bCs/>
          <w:color w:val="333333"/>
          <w:kern w:val="0"/>
          <w:sz w:val="21"/>
          <w:szCs w:val="21"/>
        </w:rPr>
        <w:t>3.实施科技小巨人企业培育工程。</w:t>
      </w:r>
      <w:r w:rsidRPr="007E0E24">
        <w:rPr>
          <w:rFonts w:ascii="宋体" w:eastAsia="宋体" w:hAnsi="宋体" w:cs="Times New Roman" w:hint="eastAsia"/>
          <w:color w:val="333333"/>
          <w:kern w:val="0"/>
          <w:sz w:val="21"/>
          <w:szCs w:val="21"/>
        </w:rPr>
        <w:t>深入贯彻落实市、区“二次创业”大会精神，实施民营企业转型升级专项扶持行动计划，通过加大财政资金投入、扩大社会融资、强化政府服务等一系列措施，聚焦各类扶持政策，促进重大科技成果引进转化，助推壮大期科技型中小企业依靠核心技术取得竞争优势，加快产业化规模化发展。力争2015年全区认定科技小巨人企业30家以上（其中市级以上16家）。（牵头单位：区科技局、发改局，配合单位：区经贸局、财政局、人社局、国税局、地税局、各镇（街道）、建发公司、石化产业开发建设公司、石化工业区建设公司）</w:t>
      </w:r>
    </w:p>
    <w:p w14:paraId="7DC30621" w14:textId="77777777" w:rsidR="007E0E24" w:rsidRPr="007E0E24" w:rsidRDefault="007E0E24" w:rsidP="007E0E24">
      <w:pPr>
        <w:widowControl/>
        <w:shd w:val="clear" w:color="auto" w:fill="FFFFFF"/>
        <w:spacing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b/>
          <w:bCs/>
          <w:color w:val="333333"/>
          <w:kern w:val="0"/>
          <w:sz w:val="21"/>
          <w:szCs w:val="21"/>
        </w:rPr>
        <w:t>4.实施创新型产业集群培育工程。</w:t>
      </w:r>
      <w:r w:rsidRPr="007E0E24">
        <w:rPr>
          <w:rFonts w:ascii="宋体" w:eastAsia="宋体" w:hAnsi="宋体" w:cs="Times New Roman" w:hint="eastAsia"/>
          <w:color w:val="333333"/>
          <w:kern w:val="0"/>
          <w:sz w:val="21"/>
          <w:szCs w:val="21"/>
        </w:rPr>
        <w:t>通过科技型小巨人企业的培育，充分发挥其带动辐射作用，深入实施“企业提升”、“企业上市”以及“企业品牌”等工程的实施，加快企业自主创新能力提升，促进科技型小巨人企业向新一代信息技术、生物医药、高端装备制造、新能源、新材料、节能环保、新型建材、海洋高新等战略性新兴产业聚集，力争在2015年初步培育形成新型（建筑）材料、新型纺织以及食品加工等2-3个产业集群，成为我区继石化主导产业后的主要支柱产业。（牵头单位：区发改局、经贸局、科技局，配合单位：区财政局、人社局、国税局、地税局、各镇（街道）、建发公司、石化产业开发建设公司、石化工业区建设公司）</w:t>
      </w:r>
    </w:p>
    <w:p w14:paraId="3DCF12EE" w14:textId="77777777" w:rsidR="007E0E24" w:rsidRPr="007E0E24" w:rsidRDefault="007E0E24" w:rsidP="007E0E24">
      <w:pPr>
        <w:widowControl/>
        <w:shd w:val="clear" w:color="auto" w:fill="FFFFFF"/>
        <w:spacing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b/>
          <w:bCs/>
          <w:color w:val="333333"/>
          <w:kern w:val="0"/>
          <w:sz w:val="21"/>
          <w:szCs w:val="21"/>
        </w:rPr>
        <w:t>（二）强化科技型企业创新能力建设</w:t>
      </w:r>
    </w:p>
    <w:p w14:paraId="4C160083"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推动创新要素向科技型企业集聚，财政科技经费主要投向企业、科技创新平台主要建在企业、高层次人才主要引向企业、全社会研发经费主要由企业投入、创新成果主要由企业取得，培育形成一批拥有核心知识产权的科技小巨人企业群体。</w:t>
      </w:r>
    </w:p>
    <w:p w14:paraId="031E8972" w14:textId="77777777" w:rsidR="007E0E24" w:rsidRPr="007E0E24" w:rsidRDefault="007E0E24" w:rsidP="007E0E24">
      <w:pPr>
        <w:widowControl/>
        <w:shd w:val="clear" w:color="auto" w:fill="FFFFFF"/>
        <w:spacing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b/>
          <w:bCs/>
          <w:color w:val="333333"/>
          <w:kern w:val="0"/>
          <w:sz w:val="21"/>
          <w:szCs w:val="21"/>
        </w:rPr>
        <w:t>1.加强企业研发机构建设。</w:t>
      </w:r>
      <w:r w:rsidRPr="007E0E24">
        <w:rPr>
          <w:rFonts w:ascii="宋体" w:eastAsia="宋体" w:hAnsi="宋体" w:cs="Times New Roman" w:hint="eastAsia"/>
          <w:color w:val="333333"/>
          <w:kern w:val="0"/>
          <w:sz w:val="21"/>
          <w:szCs w:val="21"/>
        </w:rPr>
        <w:t>实施科技创新平台全面提升计划，重点支持科技小巨人培育企业与国（境）内大企业、大集团、世界500强跨国公司、国家重点高等院校、科研院所合作建设高水平的国家级、省级、市级工程技术研究中心、行业技术开发中心、企业技术中心、重点实验室、院士专家工作站、博士后科研工作站等。支持科技小巨人培育企业与大学、科研院所联合建设研发中心，鼓励设立、兼并或并购海外研发机构，建立海外研发平台。（牵头单位：区科技局、经贸局、科协，配合单位：区发改局、财政局、人社局、各镇（街道）、建发公司、石化产业开发建设公司、石化工业区建设公司）</w:t>
      </w:r>
    </w:p>
    <w:p w14:paraId="458B8473" w14:textId="77777777" w:rsidR="007E0E24" w:rsidRPr="007E0E24" w:rsidRDefault="007E0E24" w:rsidP="007E0E24">
      <w:pPr>
        <w:widowControl/>
        <w:shd w:val="clear" w:color="auto" w:fill="FFFFFF"/>
        <w:spacing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b/>
          <w:bCs/>
          <w:color w:val="333333"/>
          <w:kern w:val="0"/>
          <w:sz w:val="21"/>
          <w:szCs w:val="21"/>
        </w:rPr>
        <w:t>2.提升企业自主创新产品开发能力。</w:t>
      </w:r>
      <w:r w:rsidRPr="007E0E24">
        <w:rPr>
          <w:rFonts w:ascii="宋体" w:eastAsia="宋体" w:hAnsi="宋体" w:cs="Times New Roman" w:hint="eastAsia"/>
          <w:color w:val="333333"/>
          <w:kern w:val="0"/>
          <w:sz w:val="21"/>
          <w:szCs w:val="21"/>
        </w:rPr>
        <w:t>切实发挥区鼓励促进企业发展资金的作用，研究实施企业转型升级专项扶持行动计划和技术创新支撑产业转型升级“双十工程”，到2015年实施十项能够带动或继续壮大百亿以上产业集群的重大科技支撑项目，优先安排科技小巨人培育企业参与重点技术改造项目、重点产业链技术改造工程建设，努力突破一批具有国内领先水平的核心技术，开发市场潜力较大、在本行业具有明显优势的自主创新产品。（牵头单位：区发改局、科技局，配合单位：区经贸局、财政局、人社局、各镇（街道）、建发公司、石化产业开发建设公司、石化工业区建设公司）</w:t>
      </w:r>
    </w:p>
    <w:p w14:paraId="146505CD" w14:textId="77777777" w:rsidR="007E0E24" w:rsidRPr="007E0E24" w:rsidRDefault="007E0E24" w:rsidP="007E0E24">
      <w:pPr>
        <w:widowControl/>
        <w:shd w:val="clear" w:color="auto" w:fill="FFFFFF"/>
        <w:spacing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b/>
          <w:bCs/>
          <w:color w:val="333333"/>
          <w:kern w:val="0"/>
          <w:sz w:val="21"/>
          <w:szCs w:val="21"/>
        </w:rPr>
        <w:t>3.深入实施知识产权战略。</w:t>
      </w:r>
      <w:r w:rsidRPr="007E0E24">
        <w:rPr>
          <w:rFonts w:ascii="宋体" w:eastAsia="宋体" w:hAnsi="宋体" w:cs="Times New Roman" w:hint="eastAsia"/>
          <w:color w:val="333333"/>
          <w:kern w:val="0"/>
          <w:sz w:val="21"/>
          <w:szCs w:val="21"/>
        </w:rPr>
        <w:t>扎实推动知识产权强区工作，持续提升企业知识产权创造和运用水平。组织实施发明专利清零和倍增计划，重点支持科技小巨人培育企业开展专利创造、运用，加强版权、商标权、著作权（含软件）等知识产权权益保护，建立健全知识产权维权援助体系，修订完善《泉港区鼓励扶持自主知识产权暂行规定》，加大扶持奖励力度，推动有能力的科技小巨人培育企业贯彻执行《企业知识产权管理规范》。至2015年，全区专利授权量突破1000件。（牵头单位：区科技局、知识产权局，配合单位：区发改局、财政局、文体新局、工商局、各镇（街道）、建发公司、石化产业开发建设公司、石化工业区建设公司）</w:t>
      </w:r>
    </w:p>
    <w:p w14:paraId="029C41AC" w14:textId="77777777" w:rsidR="007E0E24" w:rsidRPr="007E0E24" w:rsidRDefault="007E0E24" w:rsidP="007E0E24">
      <w:pPr>
        <w:widowControl/>
        <w:shd w:val="clear" w:color="auto" w:fill="FFFFFF"/>
        <w:spacing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b/>
          <w:bCs/>
          <w:color w:val="333333"/>
          <w:kern w:val="0"/>
          <w:sz w:val="21"/>
          <w:szCs w:val="21"/>
        </w:rPr>
        <w:t>4.建立科技统计制度。</w:t>
      </w:r>
      <w:r w:rsidRPr="007E0E24">
        <w:rPr>
          <w:rFonts w:ascii="宋体" w:eastAsia="宋体" w:hAnsi="宋体" w:cs="Times New Roman" w:hint="eastAsia"/>
          <w:color w:val="333333"/>
          <w:kern w:val="0"/>
          <w:sz w:val="21"/>
          <w:szCs w:val="21"/>
        </w:rPr>
        <w:t>建立全区规模以上工业企业以及科技型企业科技情况调查统计制度，指导企业设立研发专帐（户），加大研发投入。逐步完善全区企业季度科技统计报表报送制度，及时全面掌握全区高技术产业、全社会R&amp;D投入以及研发项目开展情况，为区委、区政府决策提供依据。（牵头单位：区统计局、科技局，配合单位：各镇（街道）、建发公司、石化产业开发建设公司、石化工业区建设公司）</w:t>
      </w:r>
    </w:p>
    <w:p w14:paraId="3F901FCD" w14:textId="77777777" w:rsidR="007E0E24" w:rsidRPr="007E0E24" w:rsidRDefault="007E0E24" w:rsidP="007E0E24">
      <w:pPr>
        <w:widowControl/>
        <w:shd w:val="clear" w:color="auto" w:fill="FFFFFF"/>
        <w:spacing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b/>
          <w:bCs/>
          <w:color w:val="333333"/>
          <w:kern w:val="0"/>
          <w:sz w:val="21"/>
          <w:szCs w:val="21"/>
        </w:rPr>
        <w:t>5.强化政产学研用紧密结合。</w:t>
      </w:r>
      <w:r w:rsidRPr="007E0E24">
        <w:rPr>
          <w:rFonts w:ascii="宋体" w:eastAsia="宋体" w:hAnsi="宋体" w:cs="Times New Roman" w:hint="eastAsia"/>
          <w:color w:val="333333"/>
          <w:kern w:val="0"/>
          <w:sz w:val="21"/>
          <w:szCs w:val="21"/>
        </w:rPr>
        <w:t>加快建立以区政府为主导、高校和企业深度合作、社会力量积极参与的协同创新机制。重点支持科技小巨人培育企业参与教育部“蓝火计划”，提升产学研合作层次和水平。鼓励高校的科学研究与泉港经济社会发展的有机结合，引导科技人才围绕泉港产业经济发展需求开展研究，与符合条件的高等院校和研究院所共同建立校（院）地科技创新协作委员会，引导科技小巨人培育企业等社会资金的投入。（牵头单位：区科技局，配合单位：区发改局、经贸局、教育局、财政局、人社局、各镇（街道）、建发公司、石化产业开发建设公司、石化工业区建设公司）</w:t>
      </w:r>
    </w:p>
    <w:p w14:paraId="1720DDC9" w14:textId="77777777" w:rsidR="007E0E24" w:rsidRPr="007E0E24" w:rsidRDefault="007E0E24" w:rsidP="007E0E24">
      <w:pPr>
        <w:widowControl/>
        <w:shd w:val="clear" w:color="auto" w:fill="FFFFFF"/>
        <w:spacing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b/>
          <w:bCs/>
          <w:color w:val="333333"/>
          <w:kern w:val="0"/>
          <w:sz w:val="21"/>
          <w:szCs w:val="21"/>
        </w:rPr>
        <w:t>6.发展产业技术创新战略联盟。</w:t>
      </w:r>
      <w:r w:rsidRPr="007E0E24">
        <w:rPr>
          <w:rFonts w:ascii="宋体" w:eastAsia="宋体" w:hAnsi="宋体" w:cs="Times New Roman" w:hint="eastAsia"/>
          <w:color w:val="333333"/>
          <w:kern w:val="0"/>
          <w:sz w:val="21"/>
          <w:szCs w:val="21"/>
        </w:rPr>
        <w:t>支持建设以科技小巨人培育企业为龙头，上下游企业、高校和科研院所、行业协会、中介机构等共同参与的产业技术创新战略联盟，至2015年全区产业技术创新战略联盟达到3个，形成资源共享、利益分享的市场机制，开展产、学、研、用相结合的协同创新和重大关键技术联合攻关。支持有条件的联盟采取省级、市级联盟同步建设，进一步推动创新联盟与高校、科研院所的合作由项目转化为实体新型研究机构。（牵头单位：区科技局，配合单位：区经贸局、财政局、人社局、各镇（街道）、建发公司、石化产业开发建设公司、石化工业区建设公司）</w:t>
      </w:r>
    </w:p>
    <w:p w14:paraId="62E9181F" w14:textId="77777777" w:rsidR="007E0E24" w:rsidRPr="007E0E24" w:rsidRDefault="007E0E24" w:rsidP="007E0E24">
      <w:pPr>
        <w:widowControl/>
        <w:shd w:val="clear" w:color="auto" w:fill="FFFFFF"/>
        <w:spacing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b/>
          <w:bCs/>
          <w:color w:val="333333"/>
          <w:kern w:val="0"/>
          <w:sz w:val="21"/>
          <w:szCs w:val="21"/>
        </w:rPr>
        <w:t>7.大力培育和引进各类创新人才。</w:t>
      </w:r>
      <w:r w:rsidRPr="007E0E24">
        <w:rPr>
          <w:rFonts w:ascii="宋体" w:eastAsia="宋体" w:hAnsi="宋体" w:cs="Times New Roman" w:hint="eastAsia"/>
          <w:color w:val="333333"/>
          <w:kern w:val="0"/>
          <w:sz w:val="21"/>
          <w:szCs w:val="21"/>
        </w:rPr>
        <w:t>落实泉港区中长期人才发展规划纲要，优先支持科技小巨人培育企业通过“人才+创新团队+创新项目”等方式，引进拥有核心技术、产业带动力强的创新项目及创新团队。大力引进海外优秀人才特别是顶尖人才，争取在引进“千人计划”人才方面取得突破。支持企业培养技术研发和创新人才，支持35岁以下的优秀青年科技人才主持科研项目。加强对企业引进人才的服务，对符合人才政策规定条件的对象，切实落实好其在资金补助、住房保障、配偶安置、子女入学、职称评聘、贡献奖励等方面的优惠政策。（牵头单位：区人社局，配合单位：区经贸局、教育局、财政局、人社局、卫生局、科技局、科协、国税局、地税局、各镇（街道）、建发公司、石化产业开发建设公司、石化工业区建设公司）</w:t>
      </w:r>
    </w:p>
    <w:p w14:paraId="234F4EA1" w14:textId="77777777" w:rsidR="007E0E24" w:rsidRPr="007E0E24" w:rsidRDefault="007E0E24" w:rsidP="007E0E24">
      <w:pPr>
        <w:widowControl/>
        <w:shd w:val="clear" w:color="auto" w:fill="FFFFFF"/>
        <w:spacing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b/>
          <w:bCs/>
          <w:color w:val="333333"/>
          <w:kern w:val="0"/>
          <w:sz w:val="21"/>
          <w:szCs w:val="21"/>
        </w:rPr>
        <w:t>（三）完善科技创新创业服务体系建设</w:t>
      </w:r>
    </w:p>
    <w:p w14:paraId="34884983" w14:textId="77777777" w:rsidR="007E0E24" w:rsidRPr="007E0E24" w:rsidRDefault="007E0E24" w:rsidP="007E0E24">
      <w:pPr>
        <w:widowControl/>
        <w:shd w:val="clear" w:color="auto" w:fill="FFFFFF"/>
        <w:spacing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b/>
          <w:bCs/>
          <w:color w:val="333333"/>
          <w:kern w:val="0"/>
          <w:sz w:val="21"/>
          <w:szCs w:val="21"/>
        </w:rPr>
        <w:t>1.大力推进福建师范大学泉港石化研究院等新型科研机构建设。</w:t>
      </w:r>
      <w:r w:rsidRPr="007E0E24">
        <w:rPr>
          <w:rFonts w:ascii="宋体" w:eastAsia="宋体" w:hAnsi="宋体" w:cs="Times New Roman" w:hint="eastAsia"/>
          <w:color w:val="333333"/>
          <w:kern w:val="0"/>
          <w:sz w:val="21"/>
          <w:szCs w:val="21"/>
        </w:rPr>
        <w:t>加快福建师范大学泉港石化研究院建设步伐，区财政每年安排100万元专项资金作为研究院专项资金，用于扶持研究院平台建设以及与区内科技型企业的产学研合作项目研发，重点支持科技小巨人培育企业。大力支持科技小巨人培育企业参与福建师范大学泉港石化研究院的建设，实现产权多元化、运营专业化、使用社会化。力争至2014年4月全面完成研究院建设并投入使用。（牵头单位：区科技局，配合单位：区发改局、经贸局、财政局、人社局、住建局、国土分局、前黄镇、石化产业开发建设公司）</w:t>
      </w:r>
    </w:p>
    <w:p w14:paraId="6B78E3F4" w14:textId="77777777" w:rsidR="007E0E24" w:rsidRPr="007E0E24" w:rsidRDefault="007E0E24" w:rsidP="007E0E24">
      <w:pPr>
        <w:widowControl/>
        <w:shd w:val="clear" w:color="auto" w:fill="FFFFFF"/>
        <w:spacing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b/>
          <w:bCs/>
          <w:color w:val="333333"/>
          <w:kern w:val="0"/>
          <w:sz w:val="21"/>
          <w:szCs w:val="21"/>
        </w:rPr>
        <w:t>2.加快建设公共技术服务平台。</w:t>
      </w:r>
      <w:r w:rsidRPr="007E0E24">
        <w:rPr>
          <w:rFonts w:ascii="宋体" w:eastAsia="宋体" w:hAnsi="宋体" w:cs="Times New Roman" w:hint="eastAsia"/>
          <w:color w:val="333333"/>
          <w:kern w:val="0"/>
          <w:sz w:val="21"/>
          <w:szCs w:val="21"/>
        </w:rPr>
        <w:t>以泉港石化高新技术孵化基地升格为省级重点科技企业孵化器为契机，加快推进孵化基地配套设施规划建设，加大财政资金投入（每年安排不低于200万元专项资金），力争至2015年在孵企业总数突破30家，实现产值超亿元、上缴税收800万元以上。加大推进国家石化产品、国家阀门产品质检中心和省石油化工计量检测中心的筹建力度，继续完善泉港中心工业区企业博士后科研工作站的建设，为企业可持续发展提供全方位科技创新资源要素的服务与对接。（牵头单位：区科技局、质量技术监督局直属三分局，配合单位：区发改局、经贸局、财政局、人社局、住建局、国土分局、各镇（街道）、建发公司、石化产业开发建设公司、石化工业区建设公司）</w:t>
      </w:r>
    </w:p>
    <w:p w14:paraId="17CDFEC8" w14:textId="77777777" w:rsidR="007E0E24" w:rsidRPr="007E0E24" w:rsidRDefault="007E0E24" w:rsidP="007E0E24">
      <w:pPr>
        <w:widowControl/>
        <w:shd w:val="clear" w:color="auto" w:fill="FFFFFF"/>
        <w:spacing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b/>
          <w:bCs/>
          <w:color w:val="333333"/>
          <w:kern w:val="0"/>
          <w:sz w:val="21"/>
          <w:szCs w:val="21"/>
        </w:rPr>
        <w:t>3.加快科技中介服务体系建设。</w:t>
      </w:r>
      <w:r w:rsidRPr="007E0E24">
        <w:rPr>
          <w:rFonts w:ascii="宋体" w:eastAsia="宋体" w:hAnsi="宋体" w:cs="Times New Roman" w:hint="eastAsia"/>
          <w:color w:val="333333"/>
          <w:kern w:val="0"/>
          <w:sz w:val="21"/>
          <w:szCs w:val="21"/>
        </w:rPr>
        <w:t>新建一批专业化、高水平的科技中介机构或企业，提高战略咨询、信息服务、创新驿站、技术市场、科技金融、知识产权等服务能力，为科技小巨人培育企业提供高水平、专业化服务。同时，争取建立创新驿站，为科技小巨人培育企业发展提供“一站式”创新服务。（牵头单位：区科技局，配合单位：区发改局、经贸局、财政局、各镇（街道）、建发公司、石化产业开发建设公司、石化工业区建设公司）</w:t>
      </w:r>
    </w:p>
    <w:p w14:paraId="54B3EAF0" w14:textId="77777777" w:rsidR="007E0E24" w:rsidRPr="007E0E24" w:rsidRDefault="007E0E24" w:rsidP="007E0E24">
      <w:pPr>
        <w:widowControl/>
        <w:shd w:val="clear" w:color="auto" w:fill="FFFFFF"/>
        <w:spacing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b/>
          <w:bCs/>
          <w:color w:val="333333"/>
          <w:kern w:val="0"/>
          <w:sz w:val="21"/>
          <w:szCs w:val="21"/>
        </w:rPr>
        <w:t>4.推动科技金融服务体系建设。</w:t>
      </w:r>
      <w:r w:rsidRPr="007E0E24">
        <w:rPr>
          <w:rFonts w:ascii="宋体" w:eastAsia="宋体" w:hAnsi="宋体" w:cs="Times New Roman" w:hint="eastAsia"/>
          <w:color w:val="333333"/>
          <w:kern w:val="0"/>
          <w:sz w:val="21"/>
          <w:szCs w:val="21"/>
        </w:rPr>
        <w:t>支持科技小巨人企业进入全国中小企业股份转让系统，尽快融入泉州市金融服务实体经济综合改革实验区。适时设立以政府资金引导、社会资金主要参与的科技小巨人企业融资专项资金，用于扶持小巨人培育企业的科技贷款贴息及风险补助。支持推动创新创业投资、知识产权质押融资、科技保险、股权融资交易、科技担保等科技金融服务业的发展，尽快形成较为完善的科技金融服务体系，为科技型企业发展壮大提供融资和服务。充分学习借鉴台湾等地利用社会资本推动创业创新的先进做法和经验，大力引导民营资本投向科技创新领域。（牵头单位：区金融办，配合单位：区发改局、财政局经贸局、科技局、各镇（街道）、建发公司、石化产业开发建设公司、石化工业区建设公司、各商业银行泉港支行）</w:t>
      </w:r>
    </w:p>
    <w:p w14:paraId="1548E071" w14:textId="77777777" w:rsidR="007E0E24" w:rsidRPr="007E0E24" w:rsidRDefault="007E0E24" w:rsidP="007E0E24">
      <w:pPr>
        <w:widowControl/>
        <w:shd w:val="clear" w:color="auto" w:fill="FFFFFF"/>
        <w:spacing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b/>
          <w:bCs/>
          <w:color w:val="333333"/>
          <w:kern w:val="0"/>
          <w:sz w:val="21"/>
          <w:szCs w:val="21"/>
        </w:rPr>
        <w:t>5.推动泉港新材料高新区成为科技企业聚集地。</w:t>
      </w:r>
      <w:r w:rsidRPr="007E0E24">
        <w:rPr>
          <w:rFonts w:ascii="宋体" w:eastAsia="宋体" w:hAnsi="宋体" w:cs="Times New Roman" w:hint="eastAsia"/>
          <w:color w:val="333333"/>
          <w:kern w:val="0"/>
          <w:sz w:val="21"/>
          <w:szCs w:val="21"/>
        </w:rPr>
        <w:t>加快福建泉港新材料高新技术产业园区的建设步伐，力争尽快通过省级高新区认定，并进入泉州国家级高新区“一区多园”行列，支持高新区做好二次开发，促进转型升级，大力聚集和培育一批科技小巨人企业，吸引产业链上下游企业聚集，做强做长产业链，培育发展战略性新兴产业集群。（牵头单位：石化产业开发建设公司、科技局，配合单位：区发改局、经贸局、教育局、财政局、人社局、住建局、国土分局、前黄镇、涂岭镇、山腰街道）</w:t>
      </w:r>
    </w:p>
    <w:p w14:paraId="27D70E11"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四、工作措施及扶持政策</w:t>
      </w:r>
    </w:p>
    <w:p w14:paraId="004372CE" w14:textId="77777777" w:rsidR="007E0E24" w:rsidRPr="007E0E24" w:rsidRDefault="007E0E24" w:rsidP="007E0E24">
      <w:pPr>
        <w:widowControl/>
        <w:shd w:val="clear" w:color="auto" w:fill="FFFFFF"/>
        <w:spacing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b/>
          <w:bCs/>
          <w:color w:val="333333"/>
          <w:kern w:val="0"/>
          <w:sz w:val="21"/>
          <w:szCs w:val="21"/>
        </w:rPr>
        <w:t>（一）工作措施</w:t>
      </w:r>
    </w:p>
    <w:p w14:paraId="3697E708" w14:textId="77777777" w:rsidR="007E0E24" w:rsidRPr="007E0E24" w:rsidRDefault="007E0E24" w:rsidP="007E0E24">
      <w:pPr>
        <w:widowControl/>
        <w:shd w:val="clear" w:color="auto" w:fill="FFFFFF"/>
        <w:spacing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b/>
          <w:bCs/>
          <w:color w:val="333333"/>
          <w:kern w:val="0"/>
          <w:sz w:val="21"/>
          <w:szCs w:val="21"/>
        </w:rPr>
        <w:t>1.建立培育数据库</w:t>
      </w:r>
    </w:p>
    <w:p w14:paraId="7C86FF76"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严格对照科技小巨人企业培育对象的筛选标准，筛选45家左右(2013年确定17家培育企业，2014年确定14家培育企业、2015年确定14家培育企业)产业排名居全区乃至全市全省全国前列、技术水平领先、发展潜力较大的科技型企业作为科技小巨人企业的重点培育对象，通过各类扶持政策，推动列入培育对象的科技型企业加快规模化发展。</w:t>
      </w:r>
    </w:p>
    <w:p w14:paraId="62034D1F" w14:textId="77777777" w:rsidR="007E0E24" w:rsidRPr="007E0E24" w:rsidRDefault="007E0E24" w:rsidP="007E0E24">
      <w:pPr>
        <w:widowControl/>
        <w:shd w:val="clear" w:color="auto" w:fill="FFFFFF"/>
        <w:spacing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b/>
          <w:bCs/>
          <w:color w:val="333333"/>
          <w:kern w:val="0"/>
          <w:sz w:val="21"/>
          <w:szCs w:val="21"/>
        </w:rPr>
        <w:t>2.实行动态管理</w:t>
      </w:r>
    </w:p>
    <w:p w14:paraId="33B296D3"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对筛选列入科技小巨人企业培育对象的，实行动态管理制度，每年进行一次筛选考评，对不符合筛选标准的企业，退出培育范围，不再享受相关扶持政策；对符合筛选标准的企业，及时给予增补进入培育范围。</w:t>
      </w:r>
    </w:p>
    <w:p w14:paraId="6550DA17" w14:textId="77777777" w:rsidR="007E0E24" w:rsidRPr="007E0E24" w:rsidRDefault="007E0E24" w:rsidP="007E0E24">
      <w:pPr>
        <w:widowControl/>
        <w:shd w:val="clear" w:color="auto" w:fill="FFFFFF"/>
        <w:spacing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b/>
          <w:bCs/>
          <w:color w:val="333333"/>
          <w:kern w:val="0"/>
          <w:sz w:val="21"/>
          <w:szCs w:val="21"/>
        </w:rPr>
        <w:t>3.实行重点跟踪服务</w:t>
      </w:r>
    </w:p>
    <w:p w14:paraId="69CBA275"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经认定的科技小巨人企业统一纳入重点科技型企业库管理，作为重点服务对象，除继续享受原有培育期的支持措施和政策外，支持引导科技小巨人企业进一步提升壮大，帮助其集聚高端创新资源，解决重大科技成果转化、创新产品开发技术等相关问题，对特别重大事项采取专案制度，实行“一企一报”，建立绿色通道，及时报送区委、区政府或相关部门协调处理.</w:t>
      </w:r>
    </w:p>
    <w:p w14:paraId="4424573E" w14:textId="77777777" w:rsidR="007E0E24" w:rsidRPr="007E0E24" w:rsidRDefault="007E0E24" w:rsidP="007E0E24">
      <w:pPr>
        <w:widowControl/>
        <w:shd w:val="clear" w:color="auto" w:fill="FFFFFF"/>
        <w:spacing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b/>
          <w:bCs/>
          <w:color w:val="333333"/>
          <w:kern w:val="0"/>
          <w:sz w:val="21"/>
          <w:szCs w:val="21"/>
        </w:rPr>
        <w:t>（二）扶持政策</w:t>
      </w:r>
    </w:p>
    <w:p w14:paraId="4133BF36"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1.设立科技小巨人培育专项资金。从2014年起财政安排200万元专项资金作为科技小巨人培育专项资金，用于扶持经认定的科技小巨人开展新产品、新技术研发。今后每年专项资金根据小巨人企业对我区经济贡献的情况给予适当增长。</w:t>
      </w:r>
    </w:p>
    <w:p w14:paraId="793B64B6"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2.外县（市、区）高新技术企业整体或部分迁入我区，并具独立法人资格，3年内被认定为高新技术企业的，区财政按其3年内缴纳的企业所得税区本级地方留成部分的20%给予奖励，最高不超过100万元。</w:t>
      </w:r>
    </w:p>
    <w:p w14:paraId="7693A21C"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3.对科技型企业经认定的国家、省级、市级企业技术中心、工程技术研究中心、行业技术开发中心，按认定层级，分别给予100万元、50万元、10万元奖励；经认定为国家、省级、市级创新型企业，按认定层级，分别给予100万元、50万元、10万元奖励；同时优先推荐上报国家和省级科技计划。（按《泉港区鼓励促进企业自主创新若干规定》执行）</w:t>
      </w:r>
    </w:p>
    <w:p w14:paraId="18BF0017"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4.符合《福建省企业技术创新团队资助暂行办法》（闽科计〔2012〕30号）条件的科技小巨人培育企业，优先给予省、市、区科技计划项目支持。组织、人事、教育等部门要严格按照人才政策规定，落实子女入学等政策措施，做好配套服务保障工作。</w:t>
      </w:r>
    </w:p>
    <w:p w14:paraId="727325D4"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5.税务等相关部门要简化办税流程，及时辅导和督促企业按照优惠政策的审批权限、时限办理申报备案手续，切实落实企业研发费用税前加计扣除、高新技术企业所得税减免、企业固定资产加速折旧、创业投资企业投资抵扣应纳税所得额、进口高新技术产品免税以及技术转让所得税减免等税收优惠，扶持推动其发展壮大。</w:t>
      </w:r>
    </w:p>
    <w:p w14:paraId="467F2E0D"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6.区财政、发改、经贸、科技等部门扶持民营企业转型升级和产业集群发展专项资金向科技小巨人培育企业进行重点倾斜；优先推荐其申报国家、省、市级产业开发专项、技术改造项目。</w:t>
      </w:r>
    </w:p>
    <w:p w14:paraId="18168244"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7.区财政、科技等部门牵头建立科技型企业创新产品政府采购供应商库，发布年度目录，支持科技小巨人培育企业发展。</w:t>
      </w:r>
    </w:p>
    <w:p w14:paraId="32902081"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8.区公共资源交易中心对进入区产权交易中心交易的科技小巨人培育企业，给予手续费减半优惠。</w:t>
      </w:r>
    </w:p>
    <w:p w14:paraId="5E3BB85F"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9.工商部门优先支持科技小巨人培育企业申报泉州市知名商标、驰（著）名商标认定和马德里商标国际注册；支持鼓励其以商标许可等方式开展经营活动；对其提出的打假维权要求，要优先给予保障。</w:t>
      </w:r>
    </w:p>
    <w:p w14:paraId="341D079A"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10.优先支持科技小巨人培育企业享受《泉港区关于加强优秀和紧缺专业人才队伍的若干意见》等政策文件，倾斜支持其申报院士工作站、博士后科研工作站和省级博士后创新实践基地；与台湾等地专家合作开展技术攻关、技术转移、学术交流等活动，积极引进台湾等地科技创新人才和研发团队来泉港工作。</w:t>
      </w:r>
    </w:p>
    <w:p w14:paraId="58B978C8"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11.大力支持科技小巨人培育企业开展知识产权质押融资、银行间市场直接债务融资和多层次资本市场股权融资，同时在符合产业政策、节能减排和信贷管理等相关情况下，加大对其信贷支持，给予适当利率优惠，合理确定贷款期限；与台湾等地风险投资、创业投资、保险等机构开展科技金融合作。</w:t>
      </w:r>
    </w:p>
    <w:p w14:paraId="5E5B88B1"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12.支持科技小巨人培育企业优先享受《泉州市人民政府关于进一步实施技术标准战略工作的意见》（泉政文[2012]254号）各项优惠和奖励政策，对获中国质量奖、福建省政府质量奖和福建名牌产品的企业分别由区财政给予不少于10万元的资金奖励。</w:t>
      </w:r>
    </w:p>
    <w:p w14:paraId="7897C7B0"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13.科技小巨人培育企业优先按照《泉州市促进外经贸发展的若干措施》等政策给予扶持，其赴境外参加展览展销会等活动，优先给予展位费用补助；对其在境外新设立或并购研发机构的，优先给予资金补助。</w:t>
      </w:r>
    </w:p>
    <w:p w14:paraId="71D49F86"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14.对科技小巨人培育企业申请的公证事项，公证部门经审查符合出证条件的，给予优先办理，并在7天内办结出证。</w:t>
      </w:r>
    </w:p>
    <w:p w14:paraId="04F8C9CD"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15.建立“绿色通道”服务机制，对科技小巨人培育企业实施政策聚焦，重点跟踪服务，对企业科技创新等方面存在的困难问题及时帮助协调解决，必要时实行“一企一策”；优先推荐参评高新技术企业、创新型企业；优先享受国家和省、市出台的各类科技创新政策，支持其壮大发展。</w:t>
      </w:r>
    </w:p>
    <w:p w14:paraId="57626329"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16.对经认定为市级科技小巨人企业的除享受以上扶持政策外，同时享受泉州市政府的相关政策。本意见相关扶持政策与其他已出台政策重复的，按最高标准执行，但不给予重复奖励。</w:t>
      </w:r>
    </w:p>
    <w:p w14:paraId="748303BE"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五、有关要求</w:t>
      </w:r>
    </w:p>
    <w:p w14:paraId="613386C8" w14:textId="77777777" w:rsidR="007E0E24" w:rsidRPr="007E0E24" w:rsidRDefault="007E0E24" w:rsidP="007E0E24">
      <w:pPr>
        <w:widowControl/>
        <w:shd w:val="clear" w:color="auto" w:fill="FFFFFF"/>
        <w:spacing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b/>
          <w:bCs/>
          <w:color w:val="333333"/>
          <w:kern w:val="0"/>
          <w:sz w:val="21"/>
          <w:szCs w:val="21"/>
        </w:rPr>
        <w:t>（一）加强组织领导。</w:t>
      </w:r>
      <w:r w:rsidRPr="007E0E24">
        <w:rPr>
          <w:rFonts w:ascii="宋体" w:eastAsia="宋体" w:hAnsi="宋体" w:cs="Times New Roman" w:hint="eastAsia"/>
          <w:color w:val="333333"/>
          <w:kern w:val="0"/>
          <w:sz w:val="21"/>
          <w:szCs w:val="21"/>
        </w:rPr>
        <w:t>区政府成立以分管副区长为组长，区科技、发改、经贸、财政等部门为成员的培育科技小巨人企业领导小组，办公室挂靠区科技局，同时建立联席会议制度，及时研究和推动培育科技小巨人企业工作。</w:t>
      </w:r>
    </w:p>
    <w:p w14:paraId="10C6A31E" w14:textId="77777777" w:rsidR="007E0E24" w:rsidRPr="007E0E24" w:rsidRDefault="007E0E24" w:rsidP="007E0E24">
      <w:pPr>
        <w:widowControl/>
        <w:shd w:val="clear" w:color="auto" w:fill="FFFFFF"/>
        <w:spacing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b/>
          <w:bCs/>
          <w:color w:val="333333"/>
          <w:kern w:val="0"/>
          <w:sz w:val="21"/>
          <w:szCs w:val="21"/>
        </w:rPr>
        <w:t>（二）加强协调配合。</w:t>
      </w:r>
      <w:r w:rsidRPr="007E0E24">
        <w:rPr>
          <w:rFonts w:ascii="宋体" w:eastAsia="宋体" w:hAnsi="宋体" w:cs="Times New Roman" w:hint="eastAsia"/>
          <w:color w:val="333333"/>
          <w:kern w:val="0"/>
          <w:sz w:val="21"/>
          <w:szCs w:val="21"/>
        </w:rPr>
        <w:t>各镇（街道、公司）要把培育科技小巨人企业作为当前一项重要任务，建立工作目标责任制，集中力量推动科技型企业“扩量提质”。区直有关部门要认真履行部门职责，严格落实各项惠企政策，全力支持培育科技小巨人企业。</w:t>
      </w:r>
    </w:p>
    <w:p w14:paraId="2F6C5E10" w14:textId="77777777" w:rsidR="007E0E24" w:rsidRPr="007E0E24" w:rsidRDefault="007E0E24" w:rsidP="007E0E24">
      <w:pPr>
        <w:widowControl/>
        <w:shd w:val="clear" w:color="auto" w:fill="FFFFFF"/>
        <w:spacing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b/>
          <w:bCs/>
          <w:color w:val="333333"/>
          <w:kern w:val="0"/>
          <w:sz w:val="21"/>
          <w:szCs w:val="21"/>
        </w:rPr>
        <w:t>（三）加强考核检查。</w:t>
      </w:r>
      <w:r w:rsidRPr="007E0E24">
        <w:rPr>
          <w:rFonts w:ascii="宋体" w:eastAsia="宋体" w:hAnsi="宋体" w:cs="Times New Roman" w:hint="eastAsia"/>
          <w:color w:val="333333"/>
          <w:kern w:val="0"/>
          <w:sz w:val="21"/>
          <w:szCs w:val="21"/>
        </w:rPr>
        <w:t>建立培育科技小巨人企业统计分析制度，每年年底对各镇（街道、公司）的任务目标、政策落实、科技服务等方面的完成情况进行检查通报。</w:t>
      </w:r>
    </w:p>
    <w:p w14:paraId="6B614D13" w14:textId="77777777" w:rsidR="007E0E24" w:rsidRPr="007E0E24" w:rsidRDefault="007E0E24" w:rsidP="007E0E24">
      <w:pPr>
        <w:widowControl/>
        <w:shd w:val="clear" w:color="auto" w:fill="FFFFFF"/>
        <w:spacing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b/>
          <w:bCs/>
          <w:color w:val="333333"/>
          <w:kern w:val="0"/>
          <w:sz w:val="21"/>
          <w:szCs w:val="21"/>
        </w:rPr>
        <w:t>（四）加强氛围宣传。</w:t>
      </w:r>
      <w:r w:rsidRPr="007E0E24">
        <w:rPr>
          <w:rFonts w:ascii="宋体" w:eastAsia="宋体" w:hAnsi="宋体" w:cs="Times New Roman" w:hint="eastAsia"/>
          <w:color w:val="333333"/>
          <w:kern w:val="0"/>
          <w:sz w:val="21"/>
          <w:szCs w:val="21"/>
        </w:rPr>
        <w:t>各镇（街道、公司）和区直部门要深入宣传培育科技小巨人企业活动的重大意义，广泛发动广大企业积极参与转型升级，最大限度地凝聚创新资源，形成有利于培育科技小巨人企业的浓厚氛围。</w:t>
      </w:r>
    </w:p>
    <w:p w14:paraId="0ED6B3C3"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 </w:t>
      </w:r>
    </w:p>
    <w:p w14:paraId="5DBAFC01"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附件：泉港区重点培育科技小巨人企业计划指标分解表</w:t>
      </w:r>
    </w:p>
    <w:p w14:paraId="6962AD18"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 </w:t>
      </w:r>
    </w:p>
    <w:p w14:paraId="09975FCB"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 </w:t>
      </w:r>
    </w:p>
    <w:p w14:paraId="0F429BB5"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 </w:t>
      </w:r>
    </w:p>
    <w:p w14:paraId="095C21A2"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泉州市泉港区人民政府</w:t>
      </w:r>
    </w:p>
    <w:p w14:paraId="2E830424"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2013年12月24日</w:t>
      </w:r>
    </w:p>
    <w:p w14:paraId="7342AD12"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 </w:t>
      </w:r>
    </w:p>
    <w:p w14:paraId="5FF67D21"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 </w:t>
      </w:r>
    </w:p>
    <w:p w14:paraId="0E2B42EB"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 </w:t>
      </w:r>
    </w:p>
    <w:p w14:paraId="2CB2E260"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 </w:t>
      </w:r>
    </w:p>
    <w:p w14:paraId="65A34EC5"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 </w:t>
      </w:r>
    </w:p>
    <w:p w14:paraId="4511C9DC"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附件</w:t>
      </w:r>
    </w:p>
    <w:p w14:paraId="5679E525" w14:textId="77777777" w:rsidR="007E0E24" w:rsidRPr="007E0E24" w:rsidRDefault="007E0E24" w:rsidP="007E0E24">
      <w:pPr>
        <w:widowControl/>
        <w:shd w:val="clear" w:color="auto" w:fill="FFFFFF"/>
        <w:spacing w:line="360" w:lineRule="atLeast"/>
        <w:jc w:val="center"/>
        <w:rPr>
          <w:rFonts w:ascii="宋体" w:eastAsia="宋体" w:hAnsi="宋体" w:cs="Times New Roman" w:hint="eastAsia"/>
          <w:color w:val="333333"/>
          <w:kern w:val="0"/>
          <w:sz w:val="21"/>
          <w:szCs w:val="21"/>
        </w:rPr>
      </w:pPr>
      <w:r w:rsidRPr="007E0E24">
        <w:rPr>
          <w:rFonts w:ascii="宋体" w:eastAsia="宋体" w:hAnsi="宋体" w:cs="Times New Roman" w:hint="eastAsia"/>
          <w:b/>
          <w:bCs/>
          <w:color w:val="333333"/>
          <w:kern w:val="0"/>
          <w:sz w:val="21"/>
          <w:szCs w:val="21"/>
        </w:rPr>
        <w:t>泉港区重点培育科技小巨人企业计划指标分解表</w:t>
      </w:r>
    </w:p>
    <w:p w14:paraId="1D58AFAF"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 </w:t>
      </w:r>
    </w:p>
    <w:tbl>
      <w:tblPr>
        <w:tblW w:w="128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03"/>
        <w:gridCol w:w="1742"/>
        <w:gridCol w:w="1743"/>
        <w:gridCol w:w="1763"/>
        <w:gridCol w:w="1743"/>
        <w:gridCol w:w="1743"/>
        <w:gridCol w:w="1763"/>
      </w:tblGrid>
      <w:tr w:rsidR="007E0E24" w:rsidRPr="007E0E24" w14:paraId="2E1B2992" w14:textId="77777777" w:rsidTr="007E0E24">
        <w:trPr>
          <w:tblCellSpacing w:w="0" w:type="dxa"/>
        </w:trPr>
        <w:tc>
          <w:tcPr>
            <w:tcW w:w="2300" w:type="dxa"/>
            <w:vMerge w:val="restart"/>
            <w:tcBorders>
              <w:top w:val="outset" w:sz="6" w:space="0" w:color="auto"/>
              <w:left w:val="outset" w:sz="6" w:space="0" w:color="auto"/>
              <w:bottom w:val="outset" w:sz="6" w:space="0" w:color="auto"/>
              <w:right w:val="outset" w:sz="6" w:space="0" w:color="auto"/>
            </w:tcBorders>
            <w:vAlign w:val="center"/>
            <w:hideMark/>
          </w:tcPr>
          <w:p w14:paraId="6E588DFC"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县（市、区）</w:t>
            </w:r>
          </w:p>
        </w:tc>
        <w:tc>
          <w:tcPr>
            <w:tcW w:w="5240" w:type="dxa"/>
            <w:gridSpan w:val="3"/>
            <w:tcBorders>
              <w:top w:val="outset" w:sz="6" w:space="0" w:color="auto"/>
              <w:left w:val="outset" w:sz="6" w:space="0" w:color="auto"/>
              <w:bottom w:val="outset" w:sz="6" w:space="0" w:color="auto"/>
              <w:right w:val="outset" w:sz="6" w:space="0" w:color="auto"/>
            </w:tcBorders>
            <w:vAlign w:val="center"/>
            <w:hideMark/>
          </w:tcPr>
          <w:p w14:paraId="564BEC57"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培育任务数（家）</w:t>
            </w:r>
          </w:p>
        </w:tc>
        <w:tc>
          <w:tcPr>
            <w:tcW w:w="5240" w:type="dxa"/>
            <w:gridSpan w:val="3"/>
            <w:tcBorders>
              <w:top w:val="outset" w:sz="6" w:space="0" w:color="auto"/>
              <w:left w:val="outset" w:sz="6" w:space="0" w:color="auto"/>
              <w:bottom w:val="outset" w:sz="6" w:space="0" w:color="auto"/>
              <w:right w:val="outset" w:sz="6" w:space="0" w:color="auto"/>
            </w:tcBorders>
            <w:vAlign w:val="center"/>
            <w:hideMark/>
          </w:tcPr>
          <w:p w14:paraId="39B69FBF"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认定任务数（家）</w:t>
            </w:r>
          </w:p>
        </w:tc>
      </w:tr>
      <w:tr w:rsidR="007E0E24" w:rsidRPr="007E0E24" w14:paraId="23A94AD8" w14:textId="77777777" w:rsidTr="007E0E2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3168EF1" w14:textId="77777777" w:rsidR="007E0E24" w:rsidRPr="007E0E24" w:rsidRDefault="007E0E24" w:rsidP="007E0E24">
            <w:pPr>
              <w:widowControl/>
              <w:jc w:val="left"/>
              <w:rPr>
                <w:rFonts w:ascii="宋体" w:eastAsia="宋体" w:hAnsi="宋体" w:cs="Times New Roman"/>
                <w:kern w:val="0"/>
                <w:sz w:val="21"/>
                <w:szCs w:val="21"/>
              </w:rPr>
            </w:pPr>
          </w:p>
        </w:tc>
        <w:tc>
          <w:tcPr>
            <w:tcW w:w="1740" w:type="dxa"/>
            <w:tcBorders>
              <w:top w:val="outset" w:sz="6" w:space="0" w:color="auto"/>
              <w:left w:val="outset" w:sz="6" w:space="0" w:color="auto"/>
              <w:bottom w:val="outset" w:sz="6" w:space="0" w:color="auto"/>
              <w:right w:val="outset" w:sz="6" w:space="0" w:color="auto"/>
            </w:tcBorders>
            <w:vAlign w:val="center"/>
            <w:hideMark/>
          </w:tcPr>
          <w:p w14:paraId="7376A9A3"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2013年</w:t>
            </w:r>
          </w:p>
          <w:p w14:paraId="2A56B63F"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培育数</w:t>
            </w:r>
          </w:p>
        </w:tc>
        <w:tc>
          <w:tcPr>
            <w:tcW w:w="1740" w:type="dxa"/>
            <w:tcBorders>
              <w:top w:val="outset" w:sz="6" w:space="0" w:color="auto"/>
              <w:left w:val="outset" w:sz="6" w:space="0" w:color="auto"/>
              <w:bottom w:val="outset" w:sz="6" w:space="0" w:color="auto"/>
              <w:right w:val="outset" w:sz="6" w:space="0" w:color="auto"/>
            </w:tcBorders>
            <w:vAlign w:val="center"/>
            <w:hideMark/>
          </w:tcPr>
          <w:p w14:paraId="5B9A553E"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2014年</w:t>
            </w:r>
          </w:p>
          <w:p w14:paraId="4AC51ADE"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新增培育数</w:t>
            </w:r>
          </w:p>
        </w:tc>
        <w:tc>
          <w:tcPr>
            <w:tcW w:w="1740" w:type="dxa"/>
            <w:tcBorders>
              <w:top w:val="outset" w:sz="6" w:space="0" w:color="auto"/>
              <w:left w:val="outset" w:sz="6" w:space="0" w:color="auto"/>
              <w:bottom w:val="outset" w:sz="6" w:space="0" w:color="auto"/>
              <w:right w:val="outset" w:sz="6" w:space="0" w:color="auto"/>
            </w:tcBorders>
            <w:vAlign w:val="center"/>
            <w:hideMark/>
          </w:tcPr>
          <w:p w14:paraId="06A48D58"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2015年</w:t>
            </w:r>
          </w:p>
          <w:p w14:paraId="71CF2283"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新增培育数</w:t>
            </w:r>
          </w:p>
        </w:tc>
        <w:tc>
          <w:tcPr>
            <w:tcW w:w="1740" w:type="dxa"/>
            <w:tcBorders>
              <w:top w:val="outset" w:sz="6" w:space="0" w:color="auto"/>
              <w:left w:val="outset" w:sz="6" w:space="0" w:color="auto"/>
              <w:bottom w:val="outset" w:sz="6" w:space="0" w:color="auto"/>
              <w:right w:val="outset" w:sz="6" w:space="0" w:color="auto"/>
            </w:tcBorders>
            <w:vAlign w:val="center"/>
            <w:hideMark/>
          </w:tcPr>
          <w:p w14:paraId="326BE89D"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2013年</w:t>
            </w:r>
          </w:p>
          <w:p w14:paraId="70C78D99"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认定数</w:t>
            </w:r>
          </w:p>
        </w:tc>
        <w:tc>
          <w:tcPr>
            <w:tcW w:w="1740" w:type="dxa"/>
            <w:tcBorders>
              <w:top w:val="outset" w:sz="6" w:space="0" w:color="auto"/>
              <w:left w:val="outset" w:sz="6" w:space="0" w:color="auto"/>
              <w:bottom w:val="outset" w:sz="6" w:space="0" w:color="auto"/>
              <w:right w:val="outset" w:sz="6" w:space="0" w:color="auto"/>
            </w:tcBorders>
            <w:vAlign w:val="center"/>
            <w:hideMark/>
          </w:tcPr>
          <w:p w14:paraId="32901A1F"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2014年</w:t>
            </w:r>
          </w:p>
          <w:p w14:paraId="5D46F4B2"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新增认定数</w:t>
            </w:r>
          </w:p>
        </w:tc>
        <w:tc>
          <w:tcPr>
            <w:tcW w:w="1760" w:type="dxa"/>
            <w:tcBorders>
              <w:top w:val="outset" w:sz="6" w:space="0" w:color="auto"/>
              <w:left w:val="outset" w:sz="6" w:space="0" w:color="auto"/>
              <w:bottom w:val="outset" w:sz="6" w:space="0" w:color="auto"/>
              <w:right w:val="outset" w:sz="6" w:space="0" w:color="auto"/>
            </w:tcBorders>
            <w:vAlign w:val="center"/>
            <w:hideMark/>
          </w:tcPr>
          <w:p w14:paraId="06263DEA"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2015年</w:t>
            </w:r>
          </w:p>
          <w:p w14:paraId="0421E70B"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新增认定数</w:t>
            </w:r>
          </w:p>
        </w:tc>
      </w:tr>
      <w:tr w:rsidR="007E0E24" w:rsidRPr="007E0E24" w14:paraId="3933F914" w14:textId="77777777" w:rsidTr="007E0E24">
        <w:trPr>
          <w:tblCellSpacing w:w="0" w:type="dxa"/>
        </w:trPr>
        <w:tc>
          <w:tcPr>
            <w:tcW w:w="2300" w:type="dxa"/>
            <w:tcBorders>
              <w:top w:val="outset" w:sz="6" w:space="0" w:color="auto"/>
              <w:left w:val="outset" w:sz="6" w:space="0" w:color="auto"/>
              <w:bottom w:val="outset" w:sz="6" w:space="0" w:color="auto"/>
              <w:right w:val="outset" w:sz="6" w:space="0" w:color="auto"/>
            </w:tcBorders>
            <w:vAlign w:val="center"/>
            <w:hideMark/>
          </w:tcPr>
          <w:p w14:paraId="30A8FCA3"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南埔镇</w:t>
            </w:r>
          </w:p>
        </w:tc>
        <w:tc>
          <w:tcPr>
            <w:tcW w:w="1740" w:type="dxa"/>
            <w:tcBorders>
              <w:top w:val="outset" w:sz="6" w:space="0" w:color="auto"/>
              <w:left w:val="outset" w:sz="6" w:space="0" w:color="auto"/>
              <w:bottom w:val="outset" w:sz="6" w:space="0" w:color="auto"/>
              <w:right w:val="outset" w:sz="6" w:space="0" w:color="auto"/>
            </w:tcBorders>
            <w:vAlign w:val="center"/>
            <w:hideMark/>
          </w:tcPr>
          <w:p w14:paraId="5DF0CD95"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3</w:t>
            </w:r>
          </w:p>
        </w:tc>
        <w:tc>
          <w:tcPr>
            <w:tcW w:w="1740" w:type="dxa"/>
            <w:tcBorders>
              <w:top w:val="outset" w:sz="6" w:space="0" w:color="auto"/>
              <w:left w:val="outset" w:sz="6" w:space="0" w:color="auto"/>
              <w:bottom w:val="outset" w:sz="6" w:space="0" w:color="auto"/>
              <w:right w:val="outset" w:sz="6" w:space="0" w:color="auto"/>
            </w:tcBorders>
            <w:vAlign w:val="center"/>
            <w:hideMark/>
          </w:tcPr>
          <w:p w14:paraId="7A0BBB32"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2</w:t>
            </w:r>
          </w:p>
        </w:tc>
        <w:tc>
          <w:tcPr>
            <w:tcW w:w="1740" w:type="dxa"/>
            <w:tcBorders>
              <w:top w:val="outset" w:sz="6" w:space="0" w:color="auto"/>
              <w:left w:val="outset" w:sz="6" w:space="0" w:color="auto"/>
              <w:bottom w:val="outset" w:sz="6" w:space="0" w:color="auto"/>
              <w:right w:val="outset" w:sz="6" w:space="0" w:color="auto"/>
            </w:tcBorders>
            <w:vAlign w:val="center"/>
            <w:hideMark/>
          </w:tcPr>
          <w:p w14:paraId="2F1966D9"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1</w:t>
            </w:r>
          </w:p>
        </w:tc>
        <w:tc>
          <w:tcPr>
            <w:tcW w:w="1740" w:type="dxa"/>
            <w:tcBorders>
              <w:top w:val="outset" w:sz="6" w:space="0" w:color="auto"/>
              <w:left w:val="outset" w:sz="6" w:space="0" w:color="auto"/>
              <w:bottom w:val="outset" w:sz="6" w:space="0" w:color="auto"/>
              <w:right w:val="outset" w:sz="6" w:space="0" w:color="auto"/>
            </w:tcBorders>
            <w:vAlign w:val="center"/>
            <w:hideMark/>
          </w:tcPr>
          <w:p w14:paraId="7C8B6C11"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1</w:t>
            </w:r>
          </w:p>
        </w:tc>
        <w:tc>
          <w:tcPr>
            <w:tcW w:w="1740" w:type="dxa"/>
            <w:tcBorders>
              <w:top w:val="outset" w:sz="6" w:space="0" w:color="auto"/>
              <w:left w:val="outset" w:sz="6" w:space="0" w:color="auto"/>
              <w:bottom w:val="outset" w:sz="6" w:space="0" w:color="auto"/>
              <w:right w:val="outset" w:sz="6" w:space="0" w:color="auto"/>
            </w:tcBorders>
            <w:vAlign w:val="center"/>
            <w:hideMark/>
          </w:tcPr>
          <w:p w14:paraId="0BBDD532"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2</w:t>
            </w:r>
          </w:p>
        </w:tc>
        <w:tc>
          <w:tcPr>
            <w:tcW w:w="1760" w:type="dxa"/>
            <w:tcBorders>
              <w:top w:val="outset" w:sz="6" w:space="0" w:color="auto"/>
              <w:left w:val="outset" w:sz="6" w:space="0" w:color="auto"/>
              <w:bottom w:val="outset" w:sz="6" w:space="0" w:color="auto"/>
              <w:right w:val="outset" w:sz="6" w:space="0" w:color="auto"/>
            </w:tcBorders>
            <w:vAlign w:val="center"/>
            <w:hideMark/>
          </w:tcPr>
          <w:p w14:paraId="0CA88CF3"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1</w:t>
            </w:r>
          </w:p>
        </w:tc>
      </w:tr>
      <w:tr w:rsidR="007E0E24" w:rsidRPr="007E0E24" w14:paraId="1A4A9AA0" w14:textId="77777777" w:rsidTr="007E0E24">
        <w:trPr>
          <w:tblCellSpacing w:w="0" w:type="dxa"/>
        </w:trPr>
        <w:tc>
          <w:tcPr>
            <w:tcW w:w="2300" w:type="dxa"/>
            <w:tcBorders>
              <w:top w:val="outset" w:sz="6" w:space="0" w:color="auto"/>
              <w:left w:val="outset" w:sz="6" w:space="0" w:color="auto"/>
              <w:bottom w:val="outset" w:sz="6" w:space="0" w:color="auto"/>
              <w:right w:val="outset" w:sz="6" w:space="0" w:color="auto"/>
            </w:tcBorders>
            <w:vAlign w:val="center"/>
            <w:hideMark/>
          </w:tcPr>
          <w:p w14:paraId="19E753F4"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界山镇</w:t>
            </w:r>
          </w:p>
        </w:tc>
        <w:tc>
          <w:tcPr>
            <w:tcW w:w="1740" w:type="dxa"/>
            <w:tcBorders>
              <w:top w:val="outset" w:sz="6" w:space="0" w:color="auto"/>
              <w:left w:val="outset" w:sz="6" w:space="0" w:color="auto"/>
              <w:bottom w:val="outset" w:sz="6" w:space="0" w:color="auto"/>
              <w:right w:val="outset" w:sz="6" w:space="0" w:color="auto"/>
            </w:tcBorders>
            <w:vAlign w:val="center"/>
            <w:hideMark/>
          </w:tcPr>
          <w:p w14:paraId="5A8C6964"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2</w:t>
            </w:r>
          </w:p>
        </w:tc>
        <w:tc>
          <w:tcPr>
            <w:tcW w:w="1740" w:type="dxa"/>
            <w:tcBorders>
              <w:top w:val="outset" w:sz="6" w:space="0" w:color="auto"/>
              <w:left w:val="outset" w:sz="6" w:space="0" w:color="auto"/>
              <w:bottom w:val="outset" w:sz="6" w:space="0" w:color="auto"/>
              <w:right w:val="outset" w:sz="6" w:space="0" w:color="auto"/>
            </w:tcBorders>
            <w:vAlign w:val="center"/>
            <w:hideMark/>
          </w:tcPr>
          <w:p w14:paraId="57B4128B"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1</w:t>
            </w:r>
          </w:p>
        </w:tc>
        <w:tc>
          <w:tcPr>
            <w:tcW w:w="1740" w:type="dxa"/>
            <w:tcBorders>
              <w:top w:val="outset" w:sz="6" w:space="0" w:color="auto"/>
              <w:left w:val="outset" w:sz="6" w:space="0" w:color="auto"/>
              <w:bottom w:val="outset" w:sz="6" w:space="0" w:color="auto"/>
              <w:right w:val="outset" w:sz="6" w:space="0" w:color="auto"/>
            </w:tcBorders>
            <w:vAlign w:val="center"/>
            <w:hideMark/>
          </w:tcPr>
          <w:p w14:paraId="323849F2"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1</w:t>
            </w:r>
          </w:p>
        </w:tc>
        <w:tc>
          <w:tcPr>
            <w:tcW w:w="1740" w:type="dxa"/>
            <w:tcBorders>
              <w:top w:val="outset" w:sz="6" w:space="0" w:color="auto"/>
              <w:left w:val="outset" w:sz="6" w:space="0" w:color="auto"/>
              <w:bottom w:val="outset" w:sz="6" w:space="0" w:color="auto"/>
              <w:right w:val="outset" w:sz="6" w:space="0" w:color="auto"/>
            </w:tcBorders>
            <w:vAlign w:val="center"/>
            <w:hideMark/>
          </w:tcPr>
          <w:p w14:paraId="34798E86"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1</w:t>
            </w:r>
          </w:p>
        </w:tc>
        <w:tc>
          <w:tcPr>
            <w:tcW w:w="1740" w:type="dxa"/>
            <w:tcBorders>
              <w:top w:val="outset" w:sz="6" w:space="0" w:color="auto"/>
              <w:left w:val="outset" w:sz="6" w:space="0" w:color="auto"/>
              <w:bottom w:val="outset" w:sz="6" w:space="0" w:color="auto"/>
              <w:right w:val="outset" w:sz="6" w:space="0" w:color="auto"/>
            </w:tcBorders>
            <w:vAlign w:val="center"/>
            <w:hideMark/>
          </w:tcPr>
          <w:p w14:paraId="365D7AB4"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1</w:t>
            </w:r>
          </w:p>
        </w:tc>
        <w:tc>
          <w:tcPr>
            <w:tcW w:w="1760" w:type="dxa"/>
            <w:tcBorders>
              <w:top w:val="outset" w:sz="6" w:space="0" w:color="auto"/>
              <w:left w:val="outset" w:sz="6" w:space="0" w:color="auto"/>
              <w:bottom w:val="outset" w:sz="6" w:space="0" w:color="auto"/>
              <w:right w:val="outset" w:sz="6" w:space="0" w:color="auto"/>
            </w:tcBorders>
            <w:vAlign w:val="center"/>
            <w:hideMark/>
          </w:tcPr>
          <w:p w14:paraId="3B3924EE"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1</w:t>
            </w:r>
          </w:p>
        </w:tc>
      </w:tr>
      <w:tr w:rsidR="007E0E24" w:rsidRPr="007E0E24" w14:paraId="207A5896" w14:textId="77777777" w:rsidTr="007E0E24">
        <w:trPr>
          <w:tblCellSpacing w:w="0" w:type="dxa"/>
        </w:trPr>
        <w:tc>
          <w:tcPr>
            <w:tcW w:w="2300" w:type="dxa"/>
            <w:tcBorders>
              <w:top w:val="outset" w:sz="6" w:space="0" w:color="auto"/>
              <w:left w:val="outset" w:sz="6" w:space="0" w:color="auto"/>
              <w:bottom w:val="outset" w:sz="6" w:space="0" w:color="auto"/>
              <w:right w:val="outset" w:sz="6" w:space="0" w:color="auto"/>
            </w:tcBorders>
            <w:vAlign w:val="center"/>
            <w:hideMark/>
          </w:tcPr>
          <w:p w14:paraId="3B1AAFA3"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后龙镇</w:t>
            </w:r>
          </w:p>
        </w:tc>
        <w:tc>
          <w:tcPr>
            <w:tcW w:w="1740" w:type="dxa"/>
            <w:tcBorders>
              <w:top w:val="outset" w:sz="6" w:space="0" w:color="auto"/>
              <w:left w:val="outset" w:sz="6" w:space="0" w:color="auto"/>
              <w:bottom w:val="outset" w:sz="6" w:space="0" w:color="auto"/>
              <w:right w:val="outset" w:sz="6" w:space="0" w:color="auto"/>
            </w:tcBorders>
            <w:vAlign w:val="center"/>
            <w:hideMark/>
          </w:tcPr>
          <w:p w14:paraId="09D0CCF2"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1</w:t>
            </w:r>
          </w:p>
        </w:tc>
        <w:tc>
          <w:tcPr>
            <w:tcW w:w="1740" w:type="dxa"/>
            <w:tcBorders>
              <w:top w:val="outset" w:sz="6" w:space="0" w:color="auto"/>
              <w:left w:val="outset" w:sz="6" w:space="0" w:color="auto"/>
              <w:bottom w:val="outset" w:sz="6" w:space="0" w:color="auto"/>
              <w:right w:val="outset" w:sz="6" w:space="0" w:color="auto"/>
            </w:tcBorders>
            <w:vAlign w:val="center"/>
            <w:hideMark/>
          </w:tcPr>
          <w:p w14:paraId="2A531364"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1</w:t>
            </w:r>
          </w:p>
        </w:tc>
        <w:tc>
          <w:tcPr>
            <w:tcW w:w="1740" w:type="dxa"/>
            <w:tcBorders>
              <w:top w:val="outset" w:sz="6" w:space="0" w:color="auto"/>
              <w:left w:val="outset" w:sz="6" w:space="0" w:color="auto"/>
              <w:bottom w:val="outset" w:sz="6" w:space="0" w:color="auto"/>
              <w:right w:val="outset" w:sz="6" w:space="0" w:color="auto"/>
            </w:tcBorders>
            <w:vAlign w:val="center"/>
            <w:hideMark/>
          </w:tcPr>
          <w:p w14:paraId="501BB500"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0</w:t>
            </w:r>
          </w:p>
        </w:tc>
        <w:tc>
          <w:tcPr>
            <w:tcW w:w="1740" w:type="dxa"/>
            <w:tcBorders>
              <w:top w:val="outset" w:sz="6" w:space="0" w:color="auto"/>
              <w:left w:val="outset" w:sz="6" w:space="0" w:color="auto"/>
              <w:bottom w:val="outset" w:sz="6" w:space="0" w:color="auto"/>
              <w:right w:val="outset" w:sz="6" w:space="0" w:color="auto"/>
            </w:tcBorders>
            <w:vAlign w:val="center"/>
            <w:hideMark/>
          </w:tcPr>
          <w:p w14:paraId="51FB9A64"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1</w:t>
            </w:r>
          </w:p>
        </w:tc>
        <w:tc>
          <w:tcPr>
            <w:tcW w:w="1740" w:type="dxa"/>
            <w:tcBorders>
              <w:top w:val="outset" w:sz="6" w:space="0" w:color="auto"/>
              <w:left w:val="outset" w:sz="6" w:space="0" w:color="auto"/>
              <w:bottom w:val="outset" w:sz="6" w:space="0" w:color="auto"/>
              <w:right w:val="outset" w:sz="6" w:space="0" w:color="auto"/>
            </w:tcBorders>
            <w:vAlign w:val="center"/>
            <w:hideMark/>
          </w:tcPr>
          <w:p w14:paraId="3C5EBC8E"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1</w:t>
            </w:r>
          </w:p>
        </w:tc>
        <w:tc>
          <w:tcPr>
            <w:tcW w:w="1760" w:type="dxa"/>
            <w:tcBorders>
              <w:top w:val="outset" w:sz="6" w:space="0" w:color="auto"/>
              <w:left w:val="outset" w:sz="6" w:space="0" w:color="auto"/>
              <w:bottom w:val="outset" w:sz="6" w:space="0" w:color="auto"/>
              <w:right w:val="outset" w:sz="6" w:space="0" w:color="auto"/>
            </w:tcBorders>
            <w:vAlign w:val="center"/>
            <w:hideMark/>
          </w:tcPr>
          <w:p w14:paraId="19745F57"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0</w:t>
            </w:r>
          </w:p>
        </w:tc>
      </w:tr>
      <w:tr w:rsidR="007E0E24" w:rsidRPr="007E0E24" w14:paraId="788DF1EC" w14:textId="77777777" w:rsidTr="007E0E24">
        <w:trPr>
          <w:tblCellSpacing w:w="0" w:type="dxa"/>
        </w:trPr>
        <w:tc>
          <w:tcPr>
            <w:tcW w:w="2300" w:type="dxa"/>
            <w:tcBorders>
              <w:top w:val="outset" w:sz="6" w:space="0" w:color="auto"/>
              <w:left w:val="outset" w:sz="6" w:space="0" w:color="auto"/>
              <w:bottom w:val="outset" w:sz="6" w:space="0" w:color="auto"/>
              <w:right w:val="outset" w:sz="6" w:space="0" w:color="auto"/>
            </w:tcBorders>
            <w:vAlign w:val="center"/>
            <w:hideMark/>
          </w:tcPr>
          <w:p w14:paraId="10A52D04"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峰尾镇</w:t>
            </w:r>
          </w:p>
        </w:tc>
        <w:tc>
          <w:tcPr>
            <w:tcW w:w="1740" w:type="dxa"/>
            <w:tcBorders>
              <w:top w:val="outset" w:sz="6" w:space="0" w:color="auto"/>
              <w:left w:val="outset" w:sz="6" w:space="0" w:color="auto"/>
              <w:bottom w:val="outset" w:sz="6" w:space="0" w:color="auto"/>
              <w:right w:val="outset" w:sz="6" w:space="0" w:color="auto"/>
            </w:tcBorders>
            <w:vAlign w:val="center"/>
            <w:hideMark/>
          </w:tcPr>
          <w:p w14:paraId="2BBCA09C"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1</w:t>
            </w:r>
          </w:p>
        </w:tc>
        <w:tc>
          <w:tcPr>
            <w:tcW w:w="1740" w:type="dxa"/>
            <w:tcBorders>
              <w:top w:val="outset" w:sz="6" w:space="0" w:color="auto"/>
              <w:left w:val="outset" w:sz="6" w:space="0" w:color="auto"/>
              <w:bottom w:val="outset" w:sz="6" w:space="0" w:color="auto"/>
              <w:right w:val="outset" w:sz="6" w:space="0" w:color="auto"/>
            </w:tcBorders>
            <w:vAlign w:val="center"/>
            <w:hideMark/>
          </w:tcPr>
          <w:p w14:paraId="7E6A5650"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0</w:t>
            </w:r>
          </w:p>
        </w:tc>
        <w:tc>
          <w:tcPr>
            <w:tcW w:w="1740" w:type="dxa"/>
            <w:tcBorders>
              <w:top w:val="outset" w:sz="6" w:space="0" w:color="auto"/>
              <w:left w:val="outset" w:sz="6" w:space="0" w:color="auto"/>
              <w:bottom w:val="outset" w:sz="6" w:space="0" w:color="auto"/>
              <w:right w:val="outset" w:sz="6" w:space="0" w:color="auto"/>
            </w:tcBorders>
            <w:vAlign w:val="center"/>
            <w:hideMark/>
          </w:tcPr>
          <w:p w14:paraId="507E2C81"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0</w:t>
            </w:r>
          </w:p>
        </w:tc>
        <w:tc>
          <w:tcPr>
            <w:tcW w:w="1740" w:type="dxa"/>
            <w:tcBorders>
              <w:top w:val="outset" w:sz="6" w:space="0" w:color="auto"/>
              <w:left w:val="outset" w:sz="6" w:space="0" w:color="auto"/>
              <w:bottom w:val="outset" w:sz="6" w:space="0" w:color="auto"/>
              <w:right w:val="outset" w:sz="6" w:space="0" w:color="auto"/>
            </w:tcBorders>
            <w:vAlign w:val="center"/>
            <w:hideMark/>
          </w:tcPr>
          <w:p w14:paraId="137E2B01"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1</w:t>
            </w:r>
          </w:p>
        </w:tc>
        <w:tc>
          <w:tcPr>
            <w:tcW w:w="1740" w:type="dxa"/>
            <w:tcBorders>
              <w:top w:val="outset" w:sz="6" w:space="0" w:color="auto"/>
              <w:left w:val="outset" w:sz="6" w:space="0" w:color="auto"/>
              <w:bottom w:val="outset" w:sz="6" w:space="0" w:color="auto"/>
              <w:right w:val="outset" w:sz="6" w:space="0" w:color="auto"/>
            </w:tcBorders>
            <w:vAlign w:val="center"/>
            <w:hideMark/>
          </w:tcPr>
          <w:p w14:paraId="6A448C8B"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0</w:t>
            </w:r>
          </w:p>
        </w:tc>
        <w:tc>
          <w:tcPr>
            <w:tcW w:w="1760" w:type="dxa"/>
            <w:tcBorders>
              <w:top w:val="outset" w:sz="6" w:space="0" w:color="auto"/>
              <w:left w:val="outset" w:sz="6" w:space="0" w:color="auto"/>
              <w:bottom w:val="outset" w:sz="6" w:space="0" w:color="auto"/>
              <w:right w:val="outset" w:sz="6" w:space="0" w:color="auto"/>
            </w:tcBorders>
            <w:vAlign w:val="center"/>
            <w:hideMark/>
          </w:tcPr>
          <w:p w14:paraId="62D09FC3"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0</w:t>
            </w:r>
          </w:p>
        </w:tc>
      </w:tr>
      <w:tr w:rsidR="007E0E24" w:rsidRPr="007E0E24" w14:paraId="71F13B10" w14:textId="77777777" w:rsidTr="007E0E24">
        <w:trPr>
          <w:tblCellSpacing w:w="0" w:type="dxa"/>
        </w:trPr>
        <w:tc>
          <w:tcPr>
            <w:tcW w:w="2300" w:type="dxa"/>
            <w:tcBorders>
              <w:top w:val="outset" w:sz="6" w:space="0" w:color="auto"/>
              <w:left w:val="outset" w:sz="6" w:space="0" w:color="auto"/>
              <w:bottom w:val="outset" w:sz="6" w:space="0" w:color="auto"/>
              <w:right w:val="outset" w:sz="6" w:space="0" w:color="auto"/>
            </w:tcBorders>
            <w:vAlign w:val="center"/>
            <w:hideMark/>
          </w:tcPr>
          <w:p w14:paraId="7886F520"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山腰街道</w:t>
            </w:r>
          </w:p>
        </w:tc>
        <w:tc>
          <w:tcPr>
            <w:tcW w:w="1740" w:type="dxa"/>
            <w:tcBorders>
              <w:top w:val="outset" w:sz="6" w:space="0" w:color="auto"/>
              <w:left w:val="outset" w:sz="6" w:space="0" w:color="auto"/>
              <w:bottom w:val="outset" w:sz="6" w:space="0" w:color="auto"/>
              <w:right w:val="outset" w:sz="6" w:space="0" w:color="auto"/>
            </w:tcBorders>
            <w:vAlign w:val="center"/>
            <w:hideMark/>
          </w:tcPr>
          <w:p w14:paraId="6C76B958"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2</w:t>
            </w:r>
          </w:p>
        </w:tc>
        <w:tc>
          <w:tcPr>
            <w:tcW w:w="1740" w:type="dxa"/>
            <w:tcBorders>
              <w:top w:val="outset" w:sz="6" w:space="0" w:color="auto"/>
              <w:left w:val="outset" w:sz="6" w:space="0" w:color="auto"/>
              <w:bottom w:val="outset" w:sz="6" w:space="0" w:color="auto"/>
              <w:right w:val="outset" w:sz="6" w:space="0" w:color="auto"/>
            </w:tcBorders>
            <w:vAlign w:val="center"/>
            <w:hideMark/>
          </w:tcPr>
          <w:p w14:paraId="21B15464"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3</w:t>
            </w:r>
          </w:p>
        </w:tc>
        <w:tc>
          <w:tcPr>
            <w:tcW w:w="1740" w:type="dxa"/>
            <w:tcBorders>
              <w:top w:val="outset" w:sz="6" w:space="0" w:color="auto"/>
              <w:left w:val="outset" w:sz="6" w:space="0" w:color="auto"/>
              <w:bottom w:val="outset" w:sz="6" w:space="0" w:color="auto"/>
              <w:right w:val="outset" w:sz="6" w:space="0" w:color="auto"/>
            </w:tcBorders>
            <w:vAlign w:val="center"/>
            <w:hideMark/>
          </w:tcPr>
          <w:p w14:paraId="2AFF37B4"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2</w:t>
            </w:r>
          </w:p>
        </w:tc>
        <w:tc>
          <w:tcPr>
            <w:tcW w:w="1740" w:type="dxa"/>
            <w:tcBorders>
              <w:top w:val="outset" w:sz="6" w:space="0" w:color="auto"/>
              <w:left w:val="outset" w:sz="6" w:space="0" w:color="auto"/>
              <w:bottom w:val="outset" w:sz="6" w:space="0" w:color="auto"/>
              <w:right w:val="outset" w:sz="6" w:space="0" w:color="auto"/>
            </w:tcBorders>
            <w:vAlign w:val="center"/>
            <w:hideMark/>
          </w:tcPr>
          <w:p w14:paraId="1C08B0C9"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1</w:t>
            </w:r>
          </w:p>
        </w:tc>
        <w:tc>
          <w:tcPr>
            <w:tcW w:w="1740" w:type="dxa"/>
            <w:tcBorders>
              <w:top w:val="outset" w:sz="6" w:space="0" w:color="auto"/>
              <w:left w:val="outset" w:sz="6" w:space="0" w:color="auto"/>
              <w:bottom w:val="outset" w:sz="6" w:space="0" w:color="auto"/>
              <w:right w:val="outset" w:sz="6" w:space="0" w:color="auto"/>
            </w:tcBorders>
            <w:vAlign w:val="center"/>
            <w:hideMark/>
          </w:tcPr>
          <w:p w14:paraId="1472D1EF"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2</w:t>
            </w:r>
          </w:p>
        </w:tc>
        <w:tc>
          <w:tcPr>
            <w:tcW w:w="1760" w:type="dxa"/>
            <w:tcBorders>
              <w:top w:val="outset" w:sz="6" w:space="0" w:color="auto"/>
              <w:left w:val="outset" w:sz="6" w:space="0" w:color="auto"/>
              <w:bottom w:val="outset" w:sz="6" w:space="0" w:color="auto"/>
              <w:right w:val="outset" w:sz="6" w:space="0" w:color="auto"/>
            </w:tcBorders>
            <w:vAlign w:val="center"/>
            <w:hideMark/>
          </w:tcPr>
          <w:p w14:paraId="13EC792C"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1</w:t>
            </w:r>
          </w:p>
        </w:tc>
      </w:tr>
      <w:tr w:rsidR="007E0E24" w:rsidRPr="007E0E24" w14:paraId="74399D5E" w14:textId="77777777" w:rsidTr="007E0E24">
        <w:trPr>
          <w:tblCellSpacing w:w="0" w:type="dxa"/>
        </w:trPr>
        <w:tc>
          <w:tcPr>
            <w:tcW w:w="2300" w:type="dxa"/>
            <w:tcBorders>
              <w:top w:val="outset" w:sz="6" w:space="0" w:color="auto"/>
              <w:left w:val="outset" w:sz="6" w:space="0" w:color="auto"/>
              <w:bottom w:val="outset" w:sz="6" w:space="0" w:color="auto"/>
              <w:right w:val="outset" w:sz="6" w:space="0" w:color="auto"/>
            </w:tcBorders>
            <w:vAlign w:val="center"/>
            <w:hideMark/>
          </w:tcPr>
          <w:p w14:paraId="4E73C9DA"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前黄镇</w:t>
            </w:r>
          </w:p>
        </w:tc>
        <w:tc>
          <w:tcPr>
            <w:tcW w:w="1740" w:type="dxa"/>
            <w:tcBorders>
              <w:top w:val="outset" w:sz="6" w:space="0" w:color="auto"/>
              <w:left w:val="outset" w:sz="6" w:space="0" w:color="auto"/>
              <w:bottom w:val="outset" w:sz="6" w:space="0" w:color="auto"/>
              <w:right w:val="outset" w:sz="6" w:space="0" w:color="auto"/>
            </w:tcBorders>
            <w:vAlign w:val="center"/>
            <w:hideMark/>
          </w:tcPr>
          <w:p w14:paraId="4B137F8B"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3</w:t>
            </w:r>
          </w:p>
        </w:tc>
        <w:tc>
          <w:tcPr>
            <w:tcW w:w="1740" w:type="dxa"/>
            <w:tcBorders>
              <w:top w:val="outset" w:sz="6" w:space="0" w:color="auto"/>
              <w:left w:val="outset" w:sz="6" w:space="0" w:color="auto"/>
              <w:bottom w:val="outset" w:sz="6" w:space="0" w:color="auto"/>
              <w:right w:val="outset" w:sz="6" w:space="0" w:color="auto"/>
            </w:tcBorders>
            <w:vAlign w:val="center"/>
            <w:hideMark/>
          </w:tcPr>
          <w:p w14:paraId="4610DF0C"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3</w:t>
            </w:r>
          </w:p>
        </w:tc>
        <w:tc>
          <w:tcPr>
            <w:tcW w:w="1740" w:type="dxa"/>
            <w:tcBorders>
              <w:top w:val="outset" w:sz="6" w:space="0" w:color="auto"/>
              <w:left w:val="outset" w:sz="6" w:space="0" w:color="auto"/>
              <w:bottom w:val="outset" w:sz="6" w:space="0" w:color="auto"/>
              <w:right w:val="outset" w:sz="6" w:space="0" w:color="auto"/>
            </w:tcBorders>
            <w:vAlign w:val="center"/>
            <w:hideMark/>
          </w:tcPr>
          <w:p w14:paraId="1049AA40"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2</w:t>
            </w:r>
          </w:p>
        </w:tc>
        <w:tc>
          <w:tcPr>
            <w:tcW w:w="1740" w:type="dxa"/>
            <w:tcBorders>
              <w:top w:val="outset" w:sz="6" w:space="0" w:color="auto"/>
              <w:left w:val="outset" w:sz="6" w:space="0" w:color="auto"/>
              <w:bottom w:val="outset" w:sz="6" w:space="0" w:color="auto"/>
              <w:right w:val="outset" w:sz="6" w:space="0" w:color="auto"/>
            </w:tcBorders>
            <w:vAlign w:val="center"/>
            <w:hideMark/>
          </w:tcPr>
          <w:p w14:paraId="75151963"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2</w:t>
            </w:r>
          </w:p>
        </w:tc>
        <w:tc>
          <w:tcPr>
            <w:tcW w:w="1740" w:type="dxa"/>
            <w:tcBorders>
              <w:top w:val="outset" w:sz="6" w:space="0" w:color="auto"/>
              <w:left w:val="outset" w:sz="6" w:space="0" w:color="auto"/>
              <w:bottom w:val="outset" w:sz="6" w:space="0" w:color="auto"/>
              <w:right w:val="outset" w:sz="6" w:space="0" w:color="auto"/>
            </w:tcBorders>
            <w:vAlign w:val="center"/>
            <w:hideMark/>
          </w:tcPr>
          <w:p w14:paraId="457BD763"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2</w:t>
            </w:r>
          </w:p>
        </w:tc>
        <w:tc>
          <w:tcPr>
            <w:tcW w:w="1760" w:type="dxa"/>
            <w:tcBorders>
              <w:top w:val="outset" w:sz="6" w:space="0" w:color="auto"/>
              <w:left w:val="outset" w:sz="6" w:space="0" w:color="auto"/>
              <w:bottom w:val="outset" w:sz="6" w:space="0" w:color="auto"/>
              <w:right w:val="outset" w:sz="6" w:space="0" w:color="auto"/>
            </w:tcBorders>
            <w:vAlign w:val="center"/>
            <w:hideMark/>
          </w:tcPr>
          <w:p w14:paraId="3B02C483"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2</w:t>
            </w:r>
          </w:p>
        </w:tc>
      </w:tr>
      <w:tr w:rsidR="007E0E24" w:rsidRPr="007E0E24" w14:paraId="0D35537C" w14:textId="77777777" w:rsidTr="007E0E24">
        <w:trPr>
          <w:tblCellSpacing w:w="0" w:type="dxa"/>
        </w:trPr>
        <w:tc>
          <w:tcPr>
            <w:tcW w:w="2300" w:type="dxa"/>
            <w:tcBorders>
              <w:top w:val="outset" w:sz="6" w:space="0" w:color="auto"/>
              <w:left w:val="outset" w:sz="6" w:space="0" w:color="auto"/>
              <w:bottom w:val="outset" w:sz="6" w:space="0" w:color="auto"/>
              <w:right w:val="outset" w:sz="6" w:space="0" w:color="auto"/>
            </w:tcBorders>
            <w:vAlign w:val="center"/>
            <w:hideMark/>
          </w:tcPr>
          <w:p w14:paraId="61571FCC"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涂岭镇</w:t>
            </w:r>
          </w:p>
        </w:tc>
        <w:tc>
          <w:tcPr>
            <w:tcW w:w="1740" w:type="dxa"/>
            <w:tcBorders>
              <w:top w:val="outset" w:sz="6" w:space="0" w:color="auto"/>
              <w:left w:val="outset" w:sz="6" w:space="0" w:color="auto"/>
              <w:bottom w:val="outset" w:sz="6" w:space="0" w:color="auto"/>
              <w:right w:val="outset" w:sz="6" w:space="0" w:color="auto"/>
            </w:tcBorders>
            <w:vAlign w:val="center"/>
            <w:hideMark/>
          </w:tcPr>
          <w:p w14:paraId="666BD0AA"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2</w:t>
            </w:r>
          </w:p>
        </w:tc>
        <w:tc>
          <w:tcPr>
            <w:tcW w:w="1740" w:type="dxa"/>
            <w:tcBorders>
              <w:top w:val="outset" w:sz="6" w:space="0" w:color="auto"/>
              <w:left w:val="outset" w:sz="6" w:space="0" w:color="auto"/>
              <w:bottom w:val="outset" w:sz="6" w:space="0" w:color="auto"/>
              <w:right w:val="outset" w:sz="6" w:space="0" w:color="auto"/>
            </w:tcBorders>
            <w:vAlign w:val="center"/>
            <w:hideMark/>
          </w:tcPr>
          <w:p w14:paraId="5130F7C0"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2</w:t>
            </w:r>
          </w:p>
        </w:tc>
        <w:tc>
          <w:tcPr>
            <w:tcW w:w="1740" w:type="dxa"/>
            <w:tcBorders>
              <w:top w:val="outset" w:sz="6" w:space="0" w:color="auto"/>
              <w:left w:val="outset" w:sz="6" w:space="0" w:color="auto"/>
              <w:bottom w:val="outset" w:sz="6" w:space="0" w:color="auto"/>
              <w:right w:val="outset" w:sz="6" w:space="0" w:color="auto"/>
            </w:tcBorders>
            <w:vAlign w:val="center"/>
            <w:hideMark/>
          </w:tcPr>
          <w:p w14:paraId="5E9D7377"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1</w:t>
            </w:r>
          </w:p>
        </w:tc>
        <w:tc>
          <w:tcPr>
            <w:tcW w:w="1740" w:type="dxa"/>
            <w:tcBorders>
              <w:top w:val="outset" w:sz="6" w:space="0" w:color="auto"/>
              <w:left w:val="outset" w:sz="6" w:space="0" w:color="auto"/>
              <w:bottom w:val="outset" w:sz="6" w:space="0" w:color="auto"/>
              <w:right w:val="outset" w:sz="6" w:space="0" w:color="auto"/>
            </w:tcBorders>
            <w:vAlign w:val="center"/>
            <w:hideMark/>
          </w:tcPr>
          <w:p w14:paraId="59637997"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1</w:t>
            </w:r>
          </w:p>
        </w:tc>
        <w:tc>
          <w:tcPr>
            <w:tcW w:w="1740" w:type="dxa"/>
            <w:tcBorders>
              <w:top w:val="outset" w:sz="6" w:space="0" w:color="auto"/>
              <w:left w:val="outset" w:sz="6" w:space="0" w:color="auto"/>
              <w:bottom w:val="outset" w:sz="6" w:space="0" w:color="auto"/>
              <w:right w:val="outset" w:sz="6" w:space="0" w:color="auto"/>
            </w:tcBorders>
            <w:vAlign w:val="center"/>
            <w:hideMark/>
          </w:tcPr>
          <w:p w14:paraId="583C7C22"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1</w:t>
            </w:r>
          </w:p>
        </w:tc>
        <w:tc>
          <w:tcPr>
            <w:tcW w:w="1760" w:type="dxa"/>
            <w:tcBorders>
              <w:top w:val="outset" w:sz="6" w:space="0" w:color="auto"/>
              <w:left w:val="outset" w:sz="6" w:space="0" w:color="auto"/>
              <w:bottom w:val="outset" w:sz="6" w:space="0" w:color="auto"/>
              <w:right w:val="outset" w:sz="6" w:space="0" w:color="auto"/>
            </w:tcBorders>
            <w:vAlign w:val="center"/>
            <w:hideMark/>
          </w:tcPr>
          <w:p w14:paraId="2372FBDF"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1</w:t>
            </w:r>
          </w:p>
        </w:tc>
      </w:tr>
      <w:tr w:rsidR="007E0E24" w:rsidRPr="007E0E24" w14:paraId="69BB1810" w14:textId="77777777" w:rsidTr="007E0E24">
        <w:trPr>
          <w:tblCellSpacing w:w="0" w:type="dxa"/>
        </w:trPr>
        <w:tc>
          <w:tcPr>
            <w:tcW w:w="2300" w:type="dxa"/>
            <w:tcBorders>
              <w:top w:val="outset" w:sz="6" w:space="0" w:color="auto"/>
              <w:left w:val="outset" w:sz="6" w:space="0" w:color="auto"/>
              <w:bottom w:val="outset" w:sz="6" w:space="0" w:color="auto"/>
              <w:right w:val="outset" w:sz="6" w:space="0" w:color="auto"/>
            </w:tcBorders>
            <w:vAlign w:val="center"/>
            <w:hideMark/>
          </w:tcPr>
          <w:p w14:paraId="51D07BBC"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石化产业公司</w:t>
            </w:r>
          </w:p>
        </w:tc>
        <w:tc>
          <w:tcPr>
            <w:tcW w:w="1740" w:type="dxa"/>
            <w:tcBorders>
              <w:top w:val="outset" w:sz="6" w:space="0" w:color="auto"/>
              <w:left w:val="outset" w:sz="6" w:space="0" w:color="auto"/>
              <w:bottom w:val="outset" w:sz="6" w:space="0" w:color="auto"/>
              <w:right w:val="outset" w:sz="6" w:space="0" w:color="auto"/>
            </w:tcBorders>
            <w:vAlign w:val="center"/>
            <w:hideMark/>
          </w:tcPr>
          <w:p w14:paraId="4627C445"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2</w:t>
            </w:r>
          </w:p>
        </w:tc>
        <w:tc>
          <w:tcPr>
            <w:tcW w:w="1740" w:type="dxa"/>
            <w:tcBorders>
              <w:top w:val="outset" w:sz="6" w:space="0" w:color="auto"/>
              <w:left w:val="outset" w:sz="6" w:space="0" w:color="auto"/>
              <w:bottom w:val="outset" w:sz="6" w:space="0" w:color="auto"/>
              <w:right w:val="outset" w:sz="6" w:space="0" w:color="auto"/>
            </w:tcBorders>
            <w:vAlign w:val="center"/>
            <w:hideMark/>
          </w:tcPr>
          <w:p w14:paraId="7EA17742"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2</w:t>
            </w:r>
          </w:p>
        </w:tc>
        <w:tc>
          <w:tcPr>
            <w:tcW w:w="1740" w:type="dxa"/>
            <w:tcBorders>
              <w:top w:val="outset" w:sz="6" w:space="0" w:color="auto"/>
              <w:left w:val="outset" w:sz="6" w:space="0" w:color="auto"/>
              <w:bottom w:val="outset" w:sz="6" w:space="0" w:color="auto"/>
              <w:right w:val="outset" w:sz="6" w:space="0" w:color="auto"/>
            </w:tcBorders>
            <w:vAlign w:val="center"/>
            <w:hideMark/>
          </w:tcPr>
          <w:p w14:paraId="13692A45"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3</w:t>
            </w:r>
          </w:p>
        </w:tc>
        <w:tc>
          <w:tcPr>
            <w:tcW w:w="1740" w:type="dxa"/>
            <w:tcBorders>
              <w:top w:val="outset" w:sz="6" w:space="0" w:color="auto"/>
              <w:left w:val="outset" w:sz="6" w:space="0" w:color="auto"/>
              <w:bottom w:val="outset" w:sz="6" w:space="0" w:color="auto"/>
              <w:right w:val="outset" w:sz="6" w:space="0" w:color="auto"/>
            </w:tcBorders>
            <w:vAlign w:val="center"/>
            <w:hideMark/>
          </w:tcPr>
          <w:p w14:paraId="44876651"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1</w:t>
            </w:r>
          </w:p>
        </w:tc>
        <w:tc>
          <w:tcPr>
            <w:tcW w:w="1740" w:type="dxa"/>
            <w:tcBorders>
              <w:top w:val="outset" w:sz="6" w:space="0" w:color="auto"/>
              <w:left w:val="outset" w:sz="6" w:space="0" w:color="auto"/>
              <w:bottom w:val="outset" w:sz="6" w:space="0" w:color="auto"/>
              <w:right w:val="outset" w:sz="6" w:space="0" w:color="auto"/>
            </w:tcBorders>
            <w:vAlign w:val="center"/>
            <w:hideMark/>
          </w:tcPr>
          <w:p w14:paraId="196D15AF"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1</w:t>
            </w:r>
          </w:p>
        </w:tc>
        <w:tc>
          <w:tcPr>
            <w:tcW w:w="1760" w:type="dxa"/>
            <w:tcBorders>
              <w:top w:val="outset" w:sz="6" w:space="0" w:color="auto"/>
              <w:left w:val="outset" w:sz="6" w:space="0" w:color="auto"/>
              <w:bottom w:val="outset" w:sz="6" w:space="0" w:color="auto"/>
              <w:right w:val="outset" w:sz="6" w:space="0" w:color="auto"/>
            </w:tcBorders>
            <w:vAlign w:val="center"/>
            <w:hideMark/>
          </w:tcPr>
          <w:p w14:paraId="08E58F67"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1</w:t>
            </w:r>
          </w:p>
        </w:tc>
      </w:tr>
      <w:tr w:rsidR="007E0E24" w:rsidRPr="007E0E24" w14:paraId="614FC994" w14:textId="77777777" w:rsidTr="007E0E24">
        <w:trPr>
          <w:tblCellSpacing w:w="0" w:type="dxa"/>
        </w:trPr>
        <w:tc>
          <w:tcPr>
            <w:tcW w:w="2300" w:type="dxa"/>
            <w:tcBorders>
              <w:top w:val="outset" w:sz="6" w:space="0" w:color="auto"/>
              <w:left w:val="outset" w:sz="6" w:space="0" w:color="auto"/>
              <w:bottom w:val="outset" w:sz="6" w:space="0" w:color="auto"/>
              <w:right w:val="outset" w:sz="6" w:space="0" w:color="auto"/>
            </w:tcBorders>
            <w:vAlign w:val="center"/>
            <w:hideMark/>
          </w:tcPr>
          <w:p w14:paraId="4997201D"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开发建设公司</w:t>
            </w:r>
          </w:p>
        </w:tc>
        <w:tc>
          <w:tcPr>
            <w:tcW w:w="1740" w:type="dxa"/>
            <w:tcBorders>
              <w:top w:val="outset" w:sz="6" w:space="0" w:color="auto"/>
              <w:left w:val="outset" w:sz="6" w:space="0" w:color="auto"/>
              <w:bottom w:val="outset" w:sz="6" w:space="0" w:color="auto"/>
              <w:right w:val="outset" w:sz="6" w:space="0" w:color="auto"/>
            </w:tcBorders>
            <w:vAlign w:val="center"/>
            <w:hideMark/>
          </w:tcPr>
          <w:p w14:paraId="45B7CD81"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1</w:t>
            </w:r>
          </w:p>
        </w:tc>
        <w:tc>
          <w:tcPr>
            <w:tcW w:w="1740" w:type="dxa"/>
            <w:tcBorders>
              <w:top w:val="outset" w:sz="6" w:space="0" w:color="auto"/>
              <w:left w:val="outset" w:sz="6" w:space="0" w:color="auto"/>
              <w:bottom w:val="outset" w:sz="6" w:space="0" w:color="auto"/>
              <w:right w:val="outset" w:sz="6" w:space="0" w:color="auto"/>
            </w:tcBorders>
            <w:vAlign w:val="center"/>
            <w:hideMark/>
          </w:tcPr>
          <w:p w14:paraId="3753A6F4"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0</w:t>
            </w:r>
          </w:p>
        </w:tc>
        <w:tc>
          <w:tcPr>
            <w:tcW w:w="1740" w:type="dxa"/>
            <w:tcBorders>
              <w:top w:val="outset" w:sz="6" w:space="0" w:color="auto"/>
              <w:left w:val="outset" w:sz="6" w:space="0" w:color="auto"/>
              <w:bottom w:val="outset" w:sz="6" w:space="0" w:color="auto"/>
              <w:right w:val="outset" w:sz="6" w:space="0" w:color="auto"/>
            </w:tcBorders>
            <w:vAlign w:val="center"/>
            <w:hideMark/>
          </w:tcPr>
          <w:p w14:paraId="1F38B75C"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0</w:t>
            </w:r>
          </w:p>
        </w:tc>
        <w:tc>
          <w:tcPr>
            <w:tcW w:w="1740" w:type="dxa"/>
            <w:tcBorders>
              <w:top w:val="outset" w:sz="6" w:space="0" w:color="auto"/>
              <w:left w:val="outset" w:sz="6" w:space="0" w:color="auto"/>
              <w:bottom w:val="outset" w:sz="6" w:space="0" w:color="auto"/>
              <w:right w:val="outset" w:sz="6" w:space="0" w:color="auto"/>
            </w:tcBorders>
            <w:vAlign w:val="center"/>
            <w:hideMark/>
          </w:tcPr>
          <w:p w14:paraId="5DDEFA4B"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1</w:t>
            </w:r>
          </w:p>
        </w:tc>
        <w:tc>
          <w:tcPr>
            <w:tcW w:w="1740" w:type="dxa"/>
            <w:tcBorders>
              <w:top w:val="outset" w:sz="6" w:space="0" w:color="auto"/>
              <w:left w:val="outset" w:sz="6" w:space="0" w:color="auto"/>
              <w:bottom w:val="outset" w:sz="6" w:space="0" w:color="auto"/>
              <w:right w:val="outset" w:sz="6" w:space="0" w:color="auto"/>
            </w:tcBorders>
            <w:vAlign w:val="center"/>
            <w:hideMark/>
          </w:tcPr>
          <w:p w14:paraId="4E350016"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0</w:t>
            </w:r>
          </w:p>
        </w:tc>
        <w:tc>
          <w:tcPr>
            <w:tcW w:w="1760" w:type="dxa"/>
            <w:tcBorders>
              <w:top w:val="outset" w:sz="6" w:space="0" w:color="auto"/>
              <w:left w:val="outset" w:sz="6" w:space="0" w:color="auto"/>
              <w:bottom w:val="outset" w:sz="6" w:space="0" w:color="auto"/>
              <w:right w:val="outset" w:sz="6" w:space="0" w:color="auto"/>
            </w:tcBorders>
            <w:vAlign w:val="center"/>
            <w:hideMark/>
          </w:tcPr>
          <w:p w14:paraId="62513AF6"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0</w:t>
            </w:r>
          </w:p>
        </w:tc>
      </w:tr>
      <w:tr w:rsidR="007E0E24" w:rsidRPr="007E0E24" w14:paraId="5527AB51" w14:textId="77777777" w:rsidTr="007E0E24">
        <w:trPr>
          <w:tblCellSpacing w:w="0" w:type="dxa"/>
        </w:trPr>
        <w:tc>
          <w:tcPr>
            <w:tcW w:w="2300" w:type="dxa"/>
            <w:tcBorders>
              <w:top w:val="outset" w:sz="6" w:space="0" w:color="auto"/>
              <w:left w:val="outset" w:sz="6" w:space="0" w:color="auto"/>
              <w:bottom w:val="outset" w:sz="6" w:space="0" w:color="auto"/>
              <w:right w:val="outset" w:sz="6" w:space="0" w:color="auto"/>
            </w:tcBorders>
            <w:vAlign w:val="center"/>
            <w:hideMark/>
          </w:tcPr>
          <w:p w14:paraId="4CF52747"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石化园区</w:t>
            </w:r>
          </w:p>
        </w:tc>
        <w:tc>
          <w:tcPr>
            <w:tcW w:w="1740" w:type="dxa"/>
            <w:tcBorders>
              <w:top w:val="outset" w:sz="6" w:space="0" w:color="auto"/>
              <w:left w:val="outset" w:sz="6" w:space="0" w:color="auto"/>
              <w:bottom w:val="outset" w:sz="6" w:space="0" w:color="auto"/>
              <w:right w:val="outset" w:sz="6" w:space="0" w:color="auto"/>
            </w:tcBorders>
            <w:vAlign w:val="center"/>
            <w:hideMark/>
          </w:tcPr>
          <w:p w14:paraId="73F0B9F0"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0</w:t>
            </w:r>
          </w:p>
        </w:tc>
        <w:tc>
          <w:tcPr>
            <w:tcW w:w="1740" w:type="dxa"/>
            <w:tcBorders>
              <w:top w:val="outset" w:sz="6" w:space="0" w:color="auto"/>
              <w:left w:val="outset" w:sz="6" w:space="0" w:color="auto"/>
              <w:bottom w:val="outset" w:sz="6" w:space="0" w:color="auto"/>
              <w:right w:val="outset" w:sz="6" w:space="0" w:color="auto"/>
            </w:tcBorders>
            <w:vAlign w:val="center"/>
            <w:hideMark/>
          </w:tcPr>
          <w:p w14:paraId="751A22A5"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0</w:t>
            </w:r>
          </w:p>
        </w:tc>
        <w:tc>
          <w:tcPr>
            <w:tcW w:w="1740" w:type="dxa"/>
            <w:tcBorders>
              <w:top w:val="outset" w:sz="6" w:space="0" w:color="auto"/>
              <w:left w:val="outset" w:sz="6" w:space="0" w:color="auto"/>
              <w:bottom w:val="outset" w:sz="6" w:space="0" w:color="auto"/>
              <w:right w:val="outset" w:sz="6" w:space="0" w:color="auto"/>
            </w:tcBorders>
            <w:vAlign w:val="center"/>
            <w:hideMark/>
          </w:tcPr>
          <w:p w14:paraId="06B01AE4"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4</w:t>
            </w:r>
          </w:p>
        </w:tc>
        <w:tc>
          <w:tcPr>
            <w:tcW w:w="1740" w:type="dxa"/>
            <w:tcBorders>
              <w:top w:val="outset" w:sz="6" w:space="0" w:color="auto"/>
              <w:left w:val="outset" w:sz="6" w:space="0" w:color="auto"/>
              <w:bottom w:val="outset" w:sz="6" w:space="0" w:color="auto"/>
              <w:right w:val="outset" w:sz="6" w:space="0" w:color="auto"/>
            </w:tcBorders>
            <w:vAlign w:val="center"/>
            <w:hideMark/>
          </w:tcPr>
          <w:p w14:paraId="2D04558D"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0</w:t>
            </w:r>
          </w:p>
        </w:tc>
        <w:tc>
          <w:tcPr>
            <w:tcW w:w="1740" w:type="dxa"/>
            <w:tcBorders>
              <w:top w:val="outset" w:sz="6" w:space="0" w:color="auto"/>
              <w:left w:val="outset" w:sz="6" w:space="0" w:color="auto"/>
              <w:bottom w:val="outset" w:sz="6" w:space="0" w:color="auto"/>
              <w:right w:val="outset" w:sz="6" w:space="0" w:color="auto"/>
            </w:tcBorders>
            <w:vAlign w:val="center"/>
            <w:hideMark/>
          </w:tcPr>
          <w:p w14:paraId="1A52C8F5"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0</w:t>
            </w:r>
          </w:p>
        </w:tc>
        <w:tc>
          <w:tcPr>
            <w:tcW w:w="1760" w:type="dxa"/>
            <w:tcBorders>
              <w:top w:val="outset" w:sz="6" w:space="0" w:color="auto"/>
              <w:left w:val="outset" w:sz="6" w:space="0" w:color="auto"/>
              <w:bottom w:val="outset" w:sz="6" w:space="0" w:color="auto"/>
              <w:right w:val="outset" w:sz="6" w:space="0" w:color="auto"/>
            </w:tcBorders>
            <w:vAlign w:val="center"/>
            <w:hideMark/>
          </w:tcPr>
          <w:p w14:paraId="74F42476"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3</w:t>
            </w:r>
          </w:p>
        </w:tc>
      </w:tr>
      <w:tr w:rsidR="007E0E24" w:rsidRPr="007E0E24" w14:paraId="0A6194E7" w14:textId="77777777" w:rsidTr="007E0E24">
        <w:trPr>
          <w:tblCellSpacing w:w="0" w:type="dxa"/>
        </w:trPr>
        <w:tc>
          <w:tcPr>
            <w:tcW w:w="2300" w:type="dxa"/>
            <w:tcBorders>
              <w:top w:val="outset" w:sz="6" w:space="0" w:color="auto"/>
              <w:left w:val="outset" w:sz="6" w:space="0" w:color="auto"/>
              <w:bottom w:val="outset" w:sz="6" w:space="0" w:color="auto"/>
              <w:right w:val="outset" w:sz="6" w:space="0" w:color="auto"/>
            </w:tcBorders>
            <w:vAlign w:val="center"/>
            <w:hideMark/>
          </w:tcPr>
          <w:p w14:paraId="6DE4245B"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小计</w:t>
            </w:r>
          </w:p>
        </w:tc>
        <w:tc>
          <w:tcPr>
            <w:tcW w:w="1740" w:type="dxa"/>
            <w:tcBorders>
              <w:top w:val="outset" w:sz="6" w:space="0" w:color="auto"/>
              <w:left w:val="outset" w:sz="6" w:space="0" w:color="auto"/>
              <w:bottom w:val="outset" w:sz="6" w:space="0" w:color="auto"/>
              <w:right w:val="outset" w:sz="6" w:space="0" w:color="auto"/>
            </w:tcBorders>
            <w:vAlign w:val="center"/>
            <w:hideMark/>
          </w:tcPr>
          <w:p w14:paraId="6453A068"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17</w:t>
            </w:r>
          </w:p>
        </w:tc>
        <w:tc>
          <w:tcPr>
            <w:tcW w:w="1740" w:type="dxa"/>
            <w:tcBorders>
              <w:top w:val="outset" w:sz="6" w:space="0" w:color="auto"/>
              <w:left w:val="outset" w:sz="6" w:space="0" w:color="auto"/>
              <w:bottom w:val="outset" w:sz="6" w:space="0" w:color="auto"/>
              <w:right w:val="outset" w:sz="6" w:space="0" w:color="auto"/>
            </w:tcBorders>
            <w:vAlign w:val="center"/>
            <w:hideMark/>
          </w:tcPr>
          <w:p w14:paraId="773D9E9A"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14</w:t>
            </w:r>
          </w:p>
        </w:tc>
        <w:tc>
          <w:tcPr>
            <w:tcW w:w="1740" w:type="dxa"/>
            <w:tcBorders>
              <w:top w:val="outset" w:sz="6" w:space="0" w:color="auto"/>
              <w:left w:val="outset" w:sz="6" w:space="0" w:color="auto"/>
              <w:bottom w:val="outset" w:sz="6" w:space="0" w:color="auto"/>
              <w:right w:val="outset" w:sz="6" w:space="0" w:color="auto"/>
            </w:tcBorders>
            <w:vAlign w:val="center"/>
            <w:hideMark/>
          </w:tcPr>
          <w:p w14:paraId="11FA7E92"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14</w:t>
            </w:r>
          </w:p>
        </w:tc>
        <w:tc>
          <w:tcPr>
            <w:tcW w:w="1740" w:type="dxa"/>
            <w:tcBorders>
              <w:top w:val="outset" w:sz="6" w:space="0" w:color="auto"/>
              <w:left w:val="outset" w:sz="6" w:space="0" w:color="auto"/>
              <w:bottom w:val="outset" w:sz="6" w:space="0" w:color="auto"/>
              <w:right w:val="outset" w:sz="6" w:space="0" w:color="auto"/>
            </w:tcBorders>
            <w:vAlign w:val="center"/>
            <w:hideMark/>
          </w:tcPr>
          <w:p w14:paraId="51D66DFF"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10</w:t>
            </w:r>
          </w:p>
        </w:tc>
        <w:tc>
          <w:tcPr>
            <w:tcW w:w="1740" w:type="dxa"/>
            <w:tcBorders>
              <w:top w:val="outset" w:sz="6" w:space="0" w:color="auto"/>
              <w:left w:val="outset" w:sz="6" w:space="0" w:color="auto"/>
              <w:bottom w:val="outset" w:sz="6" w:space="0" w:color="auto"/>
              <w:right w:val="outset" w:sz="6" w:space="0" w:color="auto"/>
            </w:tcBorders>
            <w:vAlign w:val="center"/>
            <w:hideMark/>
          </w:tcPr>
          <w:p w14:paraId="2A46AA00"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10</w:t>
            </w:r>
          </w:p>
        </w:tc>
        <w:tc>
          <w:tcPr>
            <w:tcW w:w="1760" w:type="dxa"/>
            <w:tcBorders>
              <w:top w:val="outset" w:sz="6" w:space="0" w:color="auto"/>
              <w:left w:val="outset" w:sz="6" w:space="0" w:color="auto"/>
              <w:bottom w:val="outset" w:sz="6" w:space="0" w:color="auto"/>
              <w:right w:val="outset" w:sz="6" w:space="0" w:color="auto"/>
            </w:tcBorders>
            <w:vAlign w:val="center"/>
            <w:hideMark/>
          </w:tcPr>
          <w:p w14:paraId="73F49E16"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10</w:t>
            </w:r>
          </w:p>
        </w:tc>
      </w:tr>
      <w:tr w:rsidR="007E0E24" w:rsidRPr="007E0E24" w14:paraId="585FF63D" w14:textId="77777777" w:rsidTr="007E0E24">
        <w:trPr>
          <w:tblCellSpacing w:w="0" w:type="dxa"/>
        </w:trPr>
        <w:tc>
          <w:tcPr>
            <w:tcW w:w="2300" w:type="dxa"/>
            <w:tcBorders>
              <w:top w:val="outset" w:sz="6" w:space="0" w:color="auto"/>
              <w:left w:val="outset" w:sz="6" w:space="0" w:color="auto"/>
              <w:bottom w:val="outset" w:sz="6" w:space="0" w:color="auto"/>
              <w:right w:val="outset" w:sz="6" w:space="0" w:color="auto"/>
            </w:tcBorders>
            <w:vAlign w:val="center"/>
            <w:hideMark/>
          </w:tcPr>
          <w:p w14:paraId="5C9A0C67"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合计</w:t>
            </w:r>
          </w:p>
        </w:tc>
        <w:tc>
          <w:tcPr>
            <w:tcW w:w="5240" w:type="dxa"/>
            <w:gridSpan w:val="3"/>
            <w:tcBorders>
              <w:top w:val="outset" w:sz="6" w:space="0" w:color="auto"/>
              <w:left w:val="outset" w:sz="6" w:space="0" w:color="auto"/>
              <w:bottom w:val="outset" w:sz="6" w:space="0" w:color="auto"/>
              <w:right w:val="outset" w:sz="6" w:space="0" w:color="auto"/>
            </w:tcBorders>
            <w:vAlign w:val="center"/>
            <w:hideMark/>
          </w:tcPr>
          <w:p w14:paraId="1CDAA4E3"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45</w:t>
            </w:r>
          </w:p>
        </w:tc>
        <w:tc>
          <w:tcPr>
            <w:tcW w:w="5240" w:type="dxa"/>
            <w:gridSpan w:val="3"/>
            <w:tcBorders>
              <w:top w:val="outset" w:sz="6" w:space="0" w:color="auto"/>
              <w:left w:val="outset" w:sz="6" w:space="0" w:color="auto"/>
              <w:bottom w:val="outset" w:sz="6" w:space="0" w:color="auto"/>
              <w:right w:val="outset" w:sz="6" w:space="0" w:color="auto"/>
            </w:tcBorders>
            <w:vAlign w:val="center"/>
            <w:hideMark/>
          </w:tcPr>
          <w:p w14:paraId="0AF4474C" w14:textId="77777777" w:rsidR="007E0E24" w:rsidRPr="007E0E24" w:rsidRDefault="007E0E24" w:rsidP="007E0E24">
            <w:pPr>
              <w:widowControl/>
              <w:spacing w:before="225" w:line="360" w:lineRule="atLeast"/>
              <w:jc w:val="center"/>
              <w:rPr>
                <w:rFonts w:ascii="宋体" w:eastAsia="宋体" w:hAnsi="宋体" w:cs="Times New Roman" w:hint="eastAsia"/>
                <w:kern w:val="0"/>
                <w:sz w:val="21"/>
                <w:szCs w:val="21"/>
              </w:rPr>
            </w:pPr>
            <w:r w:rsidRPr="007E0E24">
              <w:rPr>
                <w:rFonts w:ascii="宋体" w:eastAsia="宋体" w:hAnsi="宋体" w:cs="Times New Roman" w:hint="eastAsia"/>
                <w:kern w:val="0"/>
                <w:sz w:val="21"/>
                <w:szCs w:val="21"/>
              </w:rPr>
              <w:t>30</w:t>
            </w:r>
          </w:p>
        </w:tc>
      </w:tr>
    </w:tbl>
    <w:p w14:paraId="747674DF" w14:textId="77777777" w:rsidR="007E0E24" w:rsidRPr="007E0E24" w:rsidRDefault="007E0E24" w:rsidP="007E0E24">
      <w:pPr>
        <w:widowControl/>
        <w:shd w:val="clear" w:color="auto" w:fill="FFFFFF"/>
        <w:spacing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b/>
          <w:bCs/>
          <w:color w:val="333333"/>
          <w:kern w:val="0"/>
          <w:sz w:val="21"/>
          <w:szCs w:val="21"/>
        </w:rPr>
        <w:t>说明：企业归属的认定依据区年度经济考核标准确认。</w:t>
      </w:r>
    </w:p>
    <w:p w14:paraId="7F6E92BB"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 </w:t>
      </w:r>
    </w:p>
    <w:p w14:paraId="50001CB9"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 </w:t>
      </w:r>
    </w:p>
    <w:p w14:paraId="2F5ACABC"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 </w:t>
      </w:r>
    </w:p>
    <w:p w14:paraId="49206CDB"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 </w:t>
      </w:r>
    </w:p>
    <w:p w14:paraId="7BFCF03C" w14:textId="77777777" w:rsidR="007E0E24" w:rsidRPr="007E0E24" w:rsidRDefault="007E0E24" w:rsidP="007E0E24">
      <w:pPr>
        <w:widowControl/>
        <w:shd w:val="clear" w:color="auto" w:fill="FFFFFF"/>
        <w:spacing w:before="225" w:line="360" w:lineRule="atLeast"/>
        <w:jc w:val="left"/>
        <w:rPr>
          <w:rFonts w:ascii="宋体" w:eastAsia="宋体" w:hAnsi="宋体" w:cs="Times New Roman" w:hint="eastAsia"/>
          <w:color w:val="333333"/>
          <w:kern w:val="0"/>
          <w:sz w:val="21"/>
          <w:szCs w:val="21"/>
        </w:rPr>
      </w:pPr>
      <w:r w:rsidRPr="007E0E24">
        <w:rPr>
          <w:rFonts w:ascii="宋体" w:eastAsia="宋体" w:hAnsi="宋体" w:cs="Times New Roman" w:hint="eastAsia"/>
          <w:color w:val="333333"/>
          <w:kern w:val="0"/>
          <w:sz w:val="21"/>
          <w:szCs w:val="21"/>
        </w:rPr>
        <w:t>泉港区人民政府办公室                      2013年12月24日印发</w:t>
      </w:r>
    </w:p>
    <w:p w14:paraId="31993678" w14:textId="77777777" w:rsidR="00B87A50" w:rsidRPr="007E0E24" w:rsidRDefault="00B87A50"/>
    <w:sectPr w:rsidR="00B87A50" w:rsidRPr="007E0E24"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E24"/>
    <w:rsid w:val="00730566"/>
    <w:rsid w:val="007E0E24"/>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0EC7C06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0E24"/>
    <w:pPr>
      <w:widowControl/>
      <w:spacing w:before="100" w:beforeAutospacing="1" w:after="100" w:afterAutospacing="1"/>
      <w:jc w:val="left"/>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947754">
      <w:bodyDiv w:val="1"/>
      <w:marLeft w:val="0"/>
      <w:marRight w:val="0"/>
      <w:marTop w:val="0"/>
      <w:marBottom w:val="0"/>
      <w:divBdr>
        <w:top w:val="none" w:sz="0" w:space="0" w:color="auto"/>
        <w:left w:val="none" w:sz="0" w:space="0" w:color="auto"/>
        <w:bottom w:val="none" w:sz="0" w:space="0" w:color="auto"/>
        <w:right w:val="none" w:sz="0" w:space="0" w:color="auto"/>
      </w:divBdr>
    </w:div>
    <w:div w:id="19502382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1406</Words>
  <Characters>8019</Characters>
  <Application>Microsoft Macintosh Word</Application>
  <DocSecurity>0</DocSecurity>
  <Lines>66</Lines>
  <Paragraphs>18</Paragraphs>
  <ScaleCrop>false</ScaleCrop>
  <LinksUpToDate>false</LinksUpToDate>
  <CharactersWithSpaces>9407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2018-06-09T14:06:00Z</dcterms:created>
  <dcterms:modified xsi:type="dcterms:W3CDTF">2018-06-09T14:06:00Z</dcterms:modified>
</cp:coreProperties>
</file>