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AF" w:rsidRDefault="00D27AAF" w:rsidP="00D27AAF">
      <w:pPr>
        <w:pStyle w:val="a3"/>
        <w:spacing w:before="150" w:beforeAutospacing="0" w:after="0" w:afterAutospacing="0" w:line="480" w:lineRule="auto"/>
        <w:jc w:val="center"/>
        <w:rPr>
          <w:color w:val="000000"/>
        </w:rPr>
      </w:pPr>
      <w:r>
        <w:rPr>
          <w:rFonts w:hint="eastAsia"/>
          <w:b/>
          <w:bCs/>
          <w:color w:val="3366FF"/>
          <w:sz w:val="44"/>
          <w:szCs w:val="44"/>
        </w:rPr>
        <w:t>通化市人民政府关于</w:t>
      </w:r>
    </w:p>
    <w:p w:rsidR="00D27AAF" w:rsidRDefault="00D27AAF" w:rsidP="00D27AAF">
      <w:pPr>
        <w:pStyle w:val="a3"/>
        <w:spacing w:before="150" w:beforeAutospacing="0" w:after="0" w:afterAutospacing="0" w:line="480" w:lineRule="auto"/>
        <w:jc w:val="center"/>
        <w:rPr>
          <w:rFonts w:hint="eastAsia"/>
          <w:color w:val="000000"/>
        </w:rPr>
      </w:pPr>
      <w:bookmarkStart w:id="0" w:name="_GoBack"/>
      <w:r>
        <w:rPr>
          <w:rFonts w:hint="eastAsia"/>
          <w:b/>
          <w:bCs/>
          <w:color w:val="3366FF"/>
          <w:sz w:val="44"/>
          <w:szCs w:val="44"/>
        </w:rPr>
        <w:t>进一步加快民营经济发展的实施意见</w:t>
      </w:r>
    </w:p>
    <w:bookmarkEnd w:id="0"/>
    <w:p w:rsidR="00D27AAF" w:rsidRDefault="00D27AAF" w:rsidP="00D27AAF">
      <w:pPr>
        <w:pStyle w:val="a3"/>
        <w:spacing w:before="150" w:beforeAutospacing="0" w:after="0" w:afterAutospacing="0" w:line="480" w:lineRule="auto"/>
        <w:jc w:val="center"/>
        <w:rPr>
          <w:rFonts w:hint="eastAsia"/>
          <w:color w:val="000000"/>
        </w:rPr>
      </w:pPr>
      <w:r>
        <w:rPr>
          <w:rFonts w:hint="eastAsia"/>
          <w:color w:val="000000"/>
        </w:rPr>
        <w:t> </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各县(市、区)人民政府，通化医药高新区管委会，通化国际内陆港务区管委会，市政府各委办局、各直属单位：</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为深入贯彻落实《吉林省人民政府关于进一步促进全省民营经济加快发展的实施意见》(吉政发〔2016〕36号)精神，全面提升民营经济的质量和效益，实现我市新一轮民营经济的大发展、快发展，现提出如下实施意见：</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一、进一步优化政务服务</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w:t>
      </w:r>
      <w:proofErr w:type="gramStart"/>
      <w:r>
        <w:rPr>
          <w:rFonts w:hint="eastAsia"/>
          <w:color w:val="000000"/>
        </w:rPr>
        <w:t>一</w:t>
      </w:r>
      <w:proofErr w:type="gramEnd"/>
      <w:r>
        <w:rPr>
          <w:rFonts w:hint="eastAsia"/>
          <w:color w:val="000000"/>
        </w:rPr>
        <w:t>)清理精简行政审批事项。进一步清理和精简行政审批事项，优化审批流程，提高审批效率，及时承接国务院、省政府下放的行政审批事项，同步落实取消、暂停和调整的行政审批事项。编制我市政府工作部门行政权力目录及管理办法(权责清单)，并向社会公布。动态调整“权责清单”，根据现行的法律法规和国家、省相关政策文件及时调整“权责清单”内容，制定后续监管措施，做到“法无授权不可为”。</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放宽市场技术限制。民营企业申请办理产品生产许可证，可以自受理申请之日起试生产取证产品。企业试生产的产品应当经法定机构批检合格，并在产品或者其包装、说明书上标明“试制品”后，方可销售。对国家有限制性规定的条款，可在法律允许的条件下，根据实际情况，履行相关手续后允许其在一定期限内逐步达到规定要求。</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lastRenderedPageBreak/>
        <w:t>(三)提升行政审批效能。打造政务服务“一张网”，构建高效便民的新型“互联网+政务服务”体系。</w:t>
      </w:r>
      <w:proofErr w:type="gramStart"/>
      <w:r>
        <w:rPr>
          <w:rFonts w:hint="eastAsia"/>
          <w:color w:val="000000"/>
        </w:rPr>
        <w:t>深化商</w:t>
      </w:r>
      <w:proofErr w:type="gramEnd"/>
      <w:r>
        <w:rPr>
          <w:rFonts w:hint="eastAsia"/>
          <w:color w:val="000000"/>
        </w:rPr>
        <w:t>事制度改革，市场主体住所(经营场所)登记允许“</w:t>
      </w:r>
      <w:proofErr w:type="gramStart"/>
      <w:r>
        <w:rPr>
          <w:rFonts w:hint="eastAsia"/>
          <w:color w:val="000000"/>
        </w:rPr>
        <w:t>一址多</w:t>
      </w:r>
      <w:proofErr w:type="gramEnd"/>
      <w:r>
        <w:rPr>
          <w:rFonts w:hint="eastAsia"/>
          <w:color w:val="000000"/>
        </w:rPr>
        <w:t>照”和“一照多址”(分支机构和个体工商户除外)，降低创业准入的制度性成本。企业注册登记实行“一表申请、一窗受理、一次告知、一张执照”。</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二、支持民营经济转型升级</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四)鼓励建立现代企业制度。采取定向培育、专家辅导和咨询服务等方式，引导民营企业完善法人治理结构，积极引进战略投资者及优质股东，优化股本结构，扩大资本规模，鼓励由单一产权结构向多元化产权结构转变，逐步实现企业产权多元化。</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五)鼓励民营企业参与各类标准的制定。支持企业强化质量、标准化和计量等基础管理，对主导或参与国际标准制定且出台执行的企业和对主导或参与国家、行业标准制定并发布实施的企业，分别给予100万元、50万元、30万元的资金奖励。</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六)支持民营企业自主创新。鼓励和引导企业坚持把自主创新作为发展的核心推动力，坚定不移走创新驱动道路，支持大型骨干企业不断加大研发投入。支持骨干企业建设国家和省重点实验室、工程实验室、企业技术中心、工程(技术)研究中心。对当</w:t>
      </w:r>
      <w:proofErr w:type="gramStart"/>
      <w:r>
        <w:rPr>
          <w:rFonts w:hint="eastAsia"/>
          <w:color w:val="000000"/>
        </w:rPr>
        <w:t>年度获</w:t>
      </w:r>
      <w:proofErr w:type="gramEnd"/>
      <w:r>
        <w:rPr>
          <w:rFonts w:hint="eastAsia"/>
          <w:color w:val="000000"/>
        </w:rPr>
        <w:t>批建设的国家级、省级企业研发机构，分别给予100万元和50万元资金支持。</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(七)组织企业开展对标活动。鼓励企业实施扩能提升和重大技术改造项目，对企业采用高新技术和先进适用技术及购置国内外先进设备改造提升传统产业的</w:t>
      </w:r>
      <w:r>
        <w:rPr>
          <w:rFonts w:hint="eastAsia"/>
          <w:color w:val="000000"/>
        </w:rPr>
        <w:lastRenderedPageBreak/>
        <w:t>技术改造项目或新建新兴产业项目给予优先申报国家、</w:t>
      </w:r>
      <w:proofErr w:type="gramStart"/>
      <w:r>
        <w:rPr>
          <w:rFonts w:hint="eastAsia"/>
          <w:color w:val="000000"/>
        </w:rPr>
        <w:t>省产业</w:t>
      </w:r>
      <w:proofErr w:type="gramEnd"/>
      <w:r>
        <w:rPr>
          <w:rFonts w:hint="eastAsia"/>
          <w:color w:val="000000"/>
        </w:rPr>
        <w:t>发展资金支持，优先安排用地指标。对固定资产投资超5000万元，并产生明显经济效益的项目，按照固定资产投资额度的3%给予奖励(3年内兑现)。</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(八)实施梯级培育计划。实施大企业大集团培育工程、深化中小企业成长工程、推进小</w:t>
      </w:r>
      <w:proofErr w:type="gramStart"/>
      <w:r>
        <w:rPr>
          <w:rFonts w:hint="eastAsia"/>
          <w:color w:val="000000"/>
        </w:rPr>
        <w:t>微企业</w:t>
      </w:r>
      <w:proofErr w:type="gramEnd"/>
      <w:r>
        <w:rPr>
          <w:rFonts w:hint="eastAsia"/>
          <w:color w:val="000000"/>
        </w:rPr>
        <w:t>扶持工程。年产值首次达到100亿元、50亿元、20亿元和10亿元的企业，分别给予100万元、50万元、20万元和10万元的奖励。对当年首次升入规模的“三上”企业(规模以上工业企业、限额以上批发零售住宿餐饮企业、资质以内建筑业企业和房地产开发企业)，市财政专项资金按规定给予优先支持。</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九)引导民营企业树立商标意识和品牌意识。重点支持“专精特新”中小企业、“质量标杆”企业、科技型中小企业，实施品牌培育示范工程。鼓励民营企业注册商标和争创“驰名商标”“著名商标”“知名商标”。引导民营企业树立品牌意识，争创“名牌产品”。对当年度新获认定中国驰名商标的企业，给予50万元的资金奖励；对当年度获得中国质量奖的企业，给予50万元的资金奖励。</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鼓励和引导企业推进智能制造发展。贯彻落实“中国制造2025”战略，深化信息技术在生产制造领域的应用，大力普及应用数字化技术设备和智能控制系统，深度推进“两化融合”。推进信息技术在研发设计、物流分销、售后服务等生产服务领域应用，运用电子商务创新商业模式。支持民营企业推广基于互联网的产品开放式设计、柔性制造、个性化定制，鼓励智慧工厂、智能车间建设，打造协同研发设计、供应链管理和网络制造新模式。鼓励支持电子商务</w:t>
      </w:r>
      <w:r>
        <w:rPr>
          <w:rFonts w:hint="eastAsia"/>
          <w:color w:val="000000"/>
        </w:rPr>
        <w:lastRenderedPageBreak/>
        <w:t>平台项目建设，支持农村电子商务及跨境电子商务发展，支持创建各级电子商务产业园区(基地)。</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一)推进企业并购重组。支持和引导企业并购重组，对企业兼并重组涉及的资产评估增值、债务重组收益等给予优惠政策。涉及土地房屋权属转移未办理首次登记的，将首次登记与转移登记合并办理。创业投资民营企业采取股权投资方式投资于未上市中小高新企业2年以上的，可以按照其投资额的70%在股权持有满2年的当年抵扣</w:t>
      </w:r>
      <w:proofErr w:type="gramStart"/>
      <w:r>
        <w:rPr>
          <w:rFonts w:hint="eastAsia"/>
          <w:color w:val="000000"/>
        </w:rPr>
        <w:t>该创业</w:t>
      </w:r>
      <w:proofErr w:type="gramEnd"/>
      <w:r>
        <w:rPr>
          <w:rFonts w:hint="eastAsia"/>
          <w:color w:val="000000"/>
        </w:rPr>
        <w:t>投资民营企业的应纳税所得额。当年不足抵扣的，可以在以后纳税年度结转抵扣。对引进药品品种及技术转让的按照《通化市人民政府关于支持医药产业发展的若干意见》(通市政发〔2013〕3号)兑现奖励。</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二)加强对企业直接融资的指导。开展企业融资能力培训，加强企业对利用新三板、区域股权市场等融资辅导，引导企业提升融资能力。对企业在境内主板、中小板、创业板、新三板、区域性股权交易市场以及在境外香港主板、创业板或其他海外市场上市，在上市指导、推荐投资者和保荐机构等方面予以大力支持，按照《通化市人民政府关于进一步推进企业上市挂牌工作的意见》(通市政发〔2016〕10号)兑现政策。</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三、改善要素市场环境</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(十三)鼓励创业兴业。按照《通化市人民政府关于进一步做好新形势下就业创业工作的实施意见》(通市政发〔2016〕7号)，实施就业优先战略，以创业创新带动就业，催生经济社会发展新动力。</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lastRenderedPageBreak/>
        <w:t>(十四)推进创业平台建设。鼓励开发区、大专院校、科研院所、大型企业、民营资本等投资主体，建立各具特色的创业孵化基地、科技孵化器和</w:t>
      </w:r>
      <w:proofErr w:type="gramStart"/>
      <w:r>
        <w:rPr>
          <w:rFonts w:hint="eastAsia"/>
          <w:color w:val="000000"/>
        </w:rPr>
        <w:t>众创</w:t>
      </w:r>
      <w:proofErr w:type="gramEnd"/>
      <w:r>
        <w:rPr>
          <w:rFonts w:hint="eastAsia"/>
          <w:color w:val="000000"/>
        </w:rPr>
        <w:t>空间。支持各地依托产业园区、工业集中区、创业孵化基地等，建设培育一批小</w:t>
      </w:r>
      <w:proofErr w:type="gramStart"/>
      <w:r>
        <w:rPr>
          <w:rFonts w:hint="eastAsia"/>
          <w:color w:val="000000"/>
        </w:rPr>
        <w:t>微企业</w:t>
      </w:r>
      <w:proofErr w:type="gramEnd"/>
      <w:r>
        <w:rPr>
          <w:rFonts w:hint="eastAsia"/>
          <w:color w:val="000000"/>
        </w:rPr>
        <w:t>创新创业示范基地。鼓励创业孵化基地扩大入驻企业容量，引导创业孵化基地向中小</w:t>
      </w:r>
      <w:proofErr w:type="gramStart"/>
      <w:r>
        <w:rPr>
          <w:rFonts w:hint="eastAsia"/>
          <w:color w:val="000000"/>
        </w:rPr>
        <w:t>微企业</w:t>
      </w:r>
      <w:proofErr w:type="gramEnd"/>
      <w:r>
        <w:rPr>
          <w:rFonts w:hint="eastAsia"/>
          <w:color w:val="000000"/>
        </w:rPr>
        <w:t>聚集区发展。鼓励传统孵化基地升级改造，</w:t>
      </w:r>
      <w:proofErr w:type="gramStart"/>
      <w:r>
        <w:rPr>
          <w:rFonts w:hint="eastAsia"/>
          <w:color w:val="000000"/>
        </w:rPr>
        <w:t>推广创客空间</w:t>
      </w:r>
      <w:proofErr w:type="gramEnd"/>
      <w:r>
        <w:rPr>
          <w:rFonts w:hint="eastAsia"/>
          <w:color w:val="000000"/>
        </w:rPr>
        <w:t>、创业咖啡、创新工厂等新型孵化模式。对</w:t>
      </w:r>
      <w:proofErr w:type="gramStart"/>
      <w:r>
        <w:rPr>
          <w:rFonts w:hint="eastAsia"/>
          <w:color w:val="000000"/>
        </w:rPr>
        <w:t>创客空间</w:t>
      </w:r>
      <w:proofErr w:type="gramEnd"/>
      <w:r>
        <w:rPr>
          <w:rFonts w:hint="eastAsia"/>
          <w:color w:val="000000"/>
        </w:rPr>
        <w:t>的房租、宽带网络、公共软件等给予适当补贴。对符合条件的孵化机构内在</w:t>
      </w:r>
      <w:proofErr w:type="gramStart"/>
      <w:r>
        <w:rPr>
          <w:rFonts w:hint="eastAsia"/>
          <w:color w:val="000000"/>
        </w:rPr>
        <w:t>孵</w:t>
      </w:r>
      <w:proofErr w:type="gramEnd"/>
      <w:r>
        <w:rPr>
          <w:rFonts w:hint="eastAsia"/>
          <w:color w:val="000000"/>
        </w:rPr>
        <w:t>企业年内缴纳所得税所得额在20万元到30万元之间的小型微利企业，其所得税按50%计入应纳税所得税额，按20%的税率缴纳企业所得税。</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五)支持民营企业开拓市场。鼓励民营企业“走出去”，开展境外投资、参与国际经济合作、申报国外知识产权、建立国外营销网络和研发机构。引导企业连锁经营、整体营销，支持企业名优产品进入超市和大型市场设立产品专柜。鼓励支持民营企业举办、参加全国性、区域性专业展销会、博览会。积极组织产需对接，促进中小微型企业与大企业建立稳定的协作配套关系。</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六)推进企业集群发展。实施“互联网＋产业集群”建设行动，建设智慧集群，推动建设一批高水平的中小企业集群。因地制宜地推进云计算、大数据、物联网等新一代信息技术在产业集群中的应用，推动集群企业以互联网思维改造传统制造模式、创新模式和服务模式。</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(十七)持续推动企业降本减负。深入开展企业降成本专项行动，落实降低企业制度性交易成本、税费成本、财务成本、人工和物流成本、用电用地要素成</w:t>
      </w:r>
      <w:r>
        <w:rPr>
          <w:rFonts w:hint="eastAsia"/>
          <w:color w:val="000000"/>
        </w:rPr>
        <w:lastRenderedPageBreak/>
        <w:t>本、管理成本等各项政策措施，切实减轻企业负担。进一步清理规范中介服务项目和收费，健全要素价格市场化形成机制，完善法制化营商环境。</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八)促进工业地产项目转型利用。引导未开发工业地产用地转型利用，用于文化、旅游、体育、养老产业等项目用途的开发建设。在建的或已竣工的工业地产项目，在符合条件情况下，通过调整土地用途、规划条件等，重新办理相关建设手续的，可依法转让，办理不动产登记。鼓励开发区、产业集聚区规划建设多层工业厂房、国家大学科技园、科技企业孵化器，供中小企业进行生产、研发、设计、经营多功能复合利用。标准厂房用地按工业用途管理，国家大学科技园、科技企业孵化器实行只租不售、租金管制、租户审核、转让限制的，其用地可按科教用途管理。</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四、强化财税支持</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十九)加大资金扶持力度。从2016年开始，市本级每年设立1亿元民营经济发展专项资金，各县(市)也要相应设立民营经济发展专项资金。重点用于支持民营企业技术创新、市场开拓、人才培训(引进)、融资促进、管理提升和奖励对地方经济发展</w:t>
      </w:r>
      <w:proofErr w:type="gramStart"/>
      <w:r>
        <w:rPr>
          <w:rFonts w:hint="eastAsia"/>
          <w:color w:val="000000"/>
        </w:rPr>
        <w:t>作出</w:t>
      </w:r>
      <w:proofErr w:type="gramEnd"/>
      <w:r>
        <w:rPr>
          <w:rFonts w:hint="eastAsia"/>
          <w:color w:val="000000"/>
        </w:rPr>
        <w:t>重要贡献的民营企业。积极争取国家、省技术创新、产业发展等资金扶持。</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引导企业加大研发投入。对开发新技术、新产品、新工艺发生的研发费用，未形成无形资产计入当前损益的，在依据现行规定据实扣除的基础上，按研发费用的50%加计扣除；形成无形资产的，按无形资产成本的150%摊销。</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(二十一)建立税收优惠制度清单。加强税收政策宣传，加大税收优惠政策落实力度，及时公开享受优惠政策的条件和程序。购置并实际使用符合规定的环保</w:t>
      </w:r>
      <w:r>
        <w:rPr>
          <w:rFonts w:hint="eastAsia"/>
          <w:color w:val="000000"/>
        </w:rPr>
        <w:lastRenderedPageBreak/>
        <w:t>设备、节能节水、安全生产等专用设备，其投资额的10%可以从企业当年的应纳税额中抵免。当年不足抵免的，可以在以后5个纳税年度结转抵免。</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二)建立应急周转金。探索建立民间借贷登记服务平台，鼓励发展多种形式过桥基金运作模式，破解企业“倒贷”难题。设立融资性担保基金，构建政府主导的政策性融资担保体系，建立应急转贷、风险补偿等机制，更好发挥融资担保和保险的增信分险作用。</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三)鼓励个体工商户转型升级为企业。积极引导个体工商户转型为个人独资企业、合伙企业、有限责任公司等组织形式，在符合《企业名称登记管理办法》相关规定的前提下，允许转型后保留原字号和行业特点。个体工商户转型升级时，对实质审批事项不变且仍在有效期内的，允许先办理工商登记手续，再到相关部门办理许可事项变更登记。办理土地权属(固定资产)划转时，投资主体、经营场所、经营范围不变，符合国家税收政策规定的，免征契税、免收交易手续费。</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五、加强金融服务</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(二十四)发挥“助保金”的作用。适当增加“助保金池”</w:t>
      </w:r>
      <w:proofErr w:type="gramStart"/>
      <w:r>
        <w:rPr>
          <w:rFonts w:hint="eastAsia"/>
          <w:color w:val="000000"/>
        </w:rPr>
        <w:t>的助保额度</w:t>
      </w:r>
      <w:proofErr w:type="gramEnd"/>
      <w:r>
        <w:rPr>
          <w:rFonts w:hint="eastAsia"/>
          <w:color w:val="000000"/>
        </w:rPr>
        <w:t>，将政府风险铺底资金增加到1000万元，加大与银行的合作力度，争取</w:t>
      </w:r>
      <w:proofErr w:type="gramStart"/>
      <w:r>
        <w:rPr>
          <w:rFonts w:hint="eastAsia"/>
          <w:color w:val="000000"/>
        </w:rPr>
        <w:t>助保金额度</w:t>
      </w:r>
      <w:proofErr w:type="gramEnd"/>
      <w:r>
        <w:rPr>
          <w:rFonts w:hint="eastAsia"/>
          <w:color w:val="000000"/>
        </w:rPr>
        <w:t>放大到1亿元，为民营企业融资提供增信。</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五)鼓励担保机构扩大担保业务。完善民营企业信用担保体系，探索建立再担保中心，鼓励国有担保机构与民营担保机构加强合作，扩大贷款担保业务规模。加大担保机构扶持力度，鼓励和引导担保机构降低对民营企业担保收费，支持中小企业信用担保机构按照国家规定，税前计提担保赔偿准备和未到</w:t>
      </w:r>
      <w:r>
        <w:rPr>
          <w:rFonts w:hint="eastAsia"/>
          <w:color w:val="000000"/>
        </w:rPr>
        <w:lastRenderedPageBreak/>
        <w:t>期责任准备。对符合条件的担保机构从事中小企业信用担保或再担保业务取得的收入，自办理免税手续之日起3年内免征增值税。</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六)支持拓宽融资渠道。支持民营企业采用知识产权、仓单、商铺经营权、商业信用保单等动产进行质押融资。鼓励融资创新，支持发展融资租赁业务并给予一定资金扶持。支持民间资本参与发起设立和增资扩股村镇银行、小额贷款公司和典当、拍卖等融资服务机构。村镇银行发起行的最低持股比例降为15%。</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七)鼓励发展股权投资基金。支持民间资本依法设立公司制、合伙制私募基金、创业投资基金、风险投资基金等。鼓励有条件的地区设立中小企业发展基金。鼓励民间资本参股政府设立的产业发展引导基金，发挥财政资金引导带动作用，引导各类种子基金、天使基金、股权投资基金及其他社会资金，支持处于种子期、初创期、成长期的民营企业发展。</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(二十八)建立民营企业“红名单”制度。在全市选取一批有潜力、有项目、有信誉的规模企业，向金融部门推荐，各金融部门要优先给予贷款支持。</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六、健全人才支撑体系</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二十九)进一步落实科研人员“松绑”政策。按照《通化市关于进一步放活事业单位人才交流的意见(试行)》(通人社联字〔2016〕13号)要求，鼓励科研人员离岗创业。对于离岗创业的人员，经原单位同意，可在3年内保留人事关系，与其他在岗人员同等享有参加职称评聘、岗位等级晋升和社会保险等方面的权利。开展职称评审“双试点”改革，对在高校或科研院所兼职专业技术工</w:t>
      </w:r>
      <w:r>
        <w:rPr>
          <w:rFonts w:hint="eastAsia"/>
          <w:color w:val="000000"/>
        </w:rPr>
        <w:lastRenderedPageBreak/>
        <w:t>作的民营企业高技能人才和在企业中兼职专业技术工作的高校或科研院所复合型专业技术人才，可根据兼职专业岗位系列和实绩，专门予以职称认定。</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十)加强人才资源开发引进。切实做好民营企业急需紧缺人才培养和引进工作，鼓励引进高层次创新创业人才，特别是引进国家“千人计划”“万人计划”人才，符合标准的给予积极支持和服务。鼓励企业与院士专家合作研发和成果转化，支持企业与大专院校、科研院所开展多种形式的产学研联合，对产生显著效益的产学研合作项目，给予重点支持。</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十一)加大对民营企业各类人才培训力度。鼓励手工艺人弘扬工匠精神，传承技艺、创新创业。支持高校和社会培训机构开展职业资格以及矿管、安全、消防、质监、食品卫生、检验检疫等特殊行业培训及骨干专业技术人员专项培训。利用好高等院校、云端课堂等平台，有针对性地培养提升企业管理人才素质。采取定向培育、专家授课、社会实践等形式，探索与大专院校联合办学，开展企业家、职业经理人、技能人才和“双万”培训。组织创新交流，定期举办沙龙、座谈和论坛，推动企业人才素质提升。</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十二)加强民营企业家队伍建设。实施优秀民营企业和新生代企业家素质提升工程，将民营企业出资人、管理人员培训纳入各级人才发展规划，列入党校、行政学院、社会主义学院培训计划，拓宽民营企业家成长渠道，重点加强民营企业经营管理人才，特别是青年企业家的培训。</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七、加强组织领导</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(三十三)营造良好发展氛围。进一步加强促进民营经济发展联席会议制度建设，宣传发展民营经济重大政策举措。定期召开民营企业座谈会，帮助企业解</w:t>
      </w:r>
      <w:r>
        <w:rPr>
          <w:rFonts w:hint="eastAsia"/>
          <w:color w:val="000000"/>
        </w:rPr>
        <w:lastRenderedPageBreak/>
        <w:t>决发展中面临的困难和问题。定期召开全市民营经济发展大会，总结守法经营、文明诚信的民营经济先进典型，持续掀起全民创业民营经济发展热潮。</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十四)加强民营企业政治建设。全面推行“派出组建”“党工共建”“火种计划”等措施，扩大党的组织和工作覆盖。推行领导班子“双向进入、交叉任职”制度，积极搭建优秀民营经济代表人士参政议政平台，加强党组织书记和党务工作者队伍建设，做好党员发展、管理和服务工作，充分发挥党组织在企业职工群众中的政治核心作用，在企业发展中的政治引领作用。</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十五)保护民营企业合法权益。依法保护民营企业和民营企业家的名誉权、经营权、企业字号、专利、商标、商业秘密等人身权和财产权，严厉打击侵害民营企业知识产权等合法权益的各种违法犯罪行为。开辟民营企业投诉、申诉案件绿色通道，确定专人接待、审查、控告、申诉案件，积极为企业排忧解难。对民营企业正在使用的土地、厂房、机器设备等固定生产设施，在不违反法律强制性规定的情况下，不得采取扣押、拍卖和变卖等执行措施。引导各类</w:t>
      </w:r>
      <w:proofErr w:type="gramStart"/>
      <w:r>
        <w:rPr>
          <w:rFonts w:hint="eastAsia"/>
          <w:color w:val="000000"/>
        </w:rPr>
        <w:t>各级行业</w:t>
      </w:r>
      <w:proofErr w:type="gramEnd"/>
      <w:r>
        <w:rPr>
          <w:rFonts w:hint="eastAsia"/>
          <w:color w:val="000000"/>
        </w:rPr>
        <w:t>协会加强行业自律，维护会员企业合法权益。</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十六)提升民营企业家社会待遇。民营企业家、个体工商业者在各级各种荣誉称号评比方面享受同等待遇。定期评选一次全市优秀民营企业和优秀民营企业家及创业功臣。引导民营企业履行社会责任，鼓励民营企业积极履行环境保护、安全生产、食品药品安全、职工社会保障等社会责任。</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三十七)加强对民营经济数据统计监测。把民营经济发展工作纳入县(市、区)绩效考核评价体系，完善考核办法，加大考核权重。完善民营经济统计监测制度，强化民营经济指标统计与监测，市推进民营经济发展工作领导小组办公室</w:t>
      </w:r>
      <w:r>
        <w:rPr>
          <w:rFonts w:hint="eastAsia"/>
          <w:color w:val="000000"/>
        </w:rPr>
        <w:lastRenderedPageBreak/>
        <w:t>将对民营经济运行、政策落实和发展成果实行月调度、季通报制度。加强民营经济统计人员队伍建设，提升民营经济统计能力和水平。强化部门间信息沟通，建立部门间联动会商工作机制。</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 </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 </w:t>
      </w:r>
    </w:p>
    <w:p w:rsidR="00D27AAF" w:rsidRDefault="00D27AAF" w:rsidP="00D27AAF">
      <w:pPr>
        <w:pStyle w:val="a3"/>
        <w:spacing w:before="150" w:beforeAutospacing="0" w:after="0" w:afterAutospacing="0" w:line="480" w:lineRule="auto"/>
        <w:rPr>
          <w:rFonts w:hint="eastAsia"/>
          <w:color w:val="000000"/>
        </w:rPr>
      </w:pPr>
      <w:r>
        <w:rPr>
          <w:rFonts w:hint="eastAsia"/>
          <w:color w:val="000000"/>
        </w:rPr>
        <w:t xml:space="preserve">                                                                                 通化市人民政府　　</w:t>
      </w:r>
      <w:proofErr w:type="gramStart"/>
      <w:r>
        <w:rPr>
          <w:rFonts w:hint="eastAsia"/>
          <w:color w:val="000000"/>
        </w:rPr>
        <w:t xml:space="preserve">　　</w:t>
      </w:r>
      <w:proofErr w:type="gramEnd"/>
    </w:p>
    <w:p w:rsidR="00D27AAF" w:rsidRDefault="00D27AAF" w:rsidP="00D27AAF">
      <w:pPr>
        <w:pStyle w:val="a3"/>
        <w:spacing w:before="150" w:beforeAutospacing="0" w:after="0" w:afterAutospacing="0" w:line="480" w:lineRule="auto"/>
        <w:rPr>
          <w:rFonts w:hint="eastAsia"/>
          <w:color w:val="000000"/>
        </w:rPr>
      </w:pPr>
      <w:r>
        <w:rPr>
          <w:rFonts w:hint="eastAsia"/>
          <w:color w:val="000000"/>
        </w:rPr>
        <w:t xml:space="preserve">                                                                                2016年11月10日　</w:t>
      </w:r>
    </w:p>
    <w:p w:rsidR="009201FC" w:rsidRDefault="00D27AAF">
      <w:pPr>
        <w:rPr>
          <w:rFonts w:hint="eastAsia"/>
        </w:rPr>
      </w:pPr>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7F"/>
    <w:rsid w:val="00001A7F"/>
    <w:rsid w:val="00C441EA"/>
    <w:rsid w:val="00D007ED"/>
    <w:rsid w:val="00D2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A6A89-8E97-4A33-9751-1F379331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7A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6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2018-05-26T10:58:00Z</dcterms:created>
  <dcterms:modified xsi:type="dcterms:W3CDTF">2018-05-26T10:59:00Z</dcterms:modified>
</cp:coreProperties>
</file>