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A01" w:rsidRPr="00EF4A01" w:rsidRDefault="00EF4A01" w:rsidP="00EF4A01">
      <w:pPr>
        <w:widowControl/>
        <w:jc w:val="center"/>
        <w:rPr>
          <w:rFonts w:ascii="宋体" w:eastAsia="宋体" w:hAnsi="宋体" w:cs="宋体"/>
          <w:color w:val="000000"/>
          <w:kern w:val="0"/>
          <w:sz w:val="36"/>
          <w:szCs w:val="36"/>
        </w:rPr>
      </w:pPr>
      <w:r w:rsidRPr="00EF4A01">
        <w:rPr>
          <w:rFonts w:ascii="宋体" w:eastAsia="宋体" w:hAnsi="宋体" w:cs="宋体"/>
          <w:color w:val="000000"/>
          <w:kern w:val="0"/>
          <w:sz w:val="36"/>
          <w:szCs w:val="36"/>
        </w:rPr>
        <w:t>县人民政府关于加快微型企业发展的若干意见（试行）(凤府发〔2014〕10号)</w:t>
      </w:r>
    </w:p>
    <w:p w:rsidR="00EF4A01" w:rsidRPr="00EF4A01" w:rsidRDefault="00EF4A01" w:rsidP="00EF4A01">
      <w:pPr>
        <w:widowControl/>
        <w:jc w:val="center"/>
        <w:rPr>
          <w:rFonts w:ascii="宋体" w:eastAsia="宋体" w:hAnsi="宋体" w:cs="宋体"/>
          <w:color w:val="888888"/>
          <w:kern w:val="0"/>
          <w:sz w:val="18"/>
          <w:szCs w:val="18"/>
        </w:rPr>
      </w:pPr>
      <w:r w:rsidRPr="00EF4A01">
        <w:rPr>
          <w:rFonts w:ascii="宋体" w:eastAsia="宋体" w:hAnsi="宋体" w:cs="宋体"/>
          <w:color w:val="888888"/>
          <w:kern w:val="0"/>
          <w:sz w:val="18"/>
          <w:szCs w:val="18"/>
        </w:rPr>
        <w:t>日期：2014-03-13 08:10:48</w: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t> 来源：凤冈县人民政府门户网站</w: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t> 作者：fgadmin,凤冈县政府网站管理员,</w: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t> 阅读：4次</w: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t xml:space="preserve"> 字号：[</w:t>
      </w:r>
      <w:r w:rsidRPr="00EF4A01">
        <w:rPr>
          <w:rFonts w:ascii="宋体" w:eastAsia="宋体" w:hAnsi="宋体" w:cs="宋体"/>
          <w:color w:val="888888"/>
          <w:kern w:val="0"/>
          <w:sz w:val="15"/>
          <w:szCs w:val="15"/>
        </w:rPr>
        <w:t>小</w:t>
      </w:r>
      <w:r w:rsidRPr="00EF4A01">
        <w:rPr>
          <w:rFonts w:ascii="宋体" w:eastAsia="宋体" w:hAnsi="宋体" w:cs="宋体"/>
          <w:color w:val="FF0000"/>
          <w:kern w:val="0"/>
          <w:szCs w:val="21"/>
        </w:rPr>
        <w:t>中</w:t>
      </w:r>
      <w:r w:rsidRPr="00EF4A01">
        <w:rPr>
          <w:rFonts w:ascii="宋体" w:eastAsia="宋体" w:hAnsi="宋体" w:cs="宋体"/>
          <w:color w:val="888888"/>
          <w:kern w:val="0"/>
          <w:sz w:val="24"/>
          <w:szCs w:val="24"/>
        </w:rPr>
        <w:t>大</w:t>
      </w:r>
      <w:r w:rsidRPr="00EF4A01">
        <w:rPr>
          <w:rFonts w:ascii="宋体" w:eastAsia="宋体" w:hAnsi="宋体" w:cs="宋体"/>
          <w:color w:val="888888"/>
          <w:kern w:val="0"/>
          <w:sz w:val="18"/>
          <w:szCs w:val="18"/>
        </w:rPr>
        <w:t>]</w: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t> </w:t>
      </w:r>
      <w:hyperlink r:id="rId5" w:history="1">
        <w:r w:rsidRPr="00EF4A01">
          <w:rPr>
            <w:rFonts w:ascii="宋体" w:eastAsia="宋体" w:hAnsi="宋体" w:cs="宋体"/>
            <w:color w:val="000000"/>
            <w:kern w:val="0"/>
            <w:sz w:val="18"/>
            <w:szCs w:val="18"/>
          </w:rPr>
          <w:t>[我要打印]</w:t>
        </w:r>
      </w:hyperlink>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t> </w:t>
      </w:r>
      <w:hyperlink r:id="rId6" w:history="1">
        <w:r w:rsidRPr="00EF4A01">
          <w:rPr>
            <w:rFonts w:ascii="宋体" w:eastAsia="宋体" w:hAnsi="宋体" w:cs="宋体"/>
            <w:color w:val="000000"/>
            <w:kern w:val="0"/>
            <w:sz w:val="18"/>
            <w:szCs w:val="18"/>
          </w:rPr>
          <w:t>[关闭]</w:t>
        </w:r>
      </w:hyperlink>
      <w:r w:rsidRPr="00EF4A01">
        <w:rPr>
          <w:rFonts w:ascii="宋体" w:eastAsia="宋体" w:hAnsi="宋体" w:cs="宋体"/>
          <w:color w:val="888888"/>
          <w:kern w:val="0"/>
          <w:sz w:val="18"/>
          <w:szCs w:val="18"/>
        </w:rPr>
        <w:t> 视力保护色： </w:t>
      </w:r>
      <w:r w:rsidRPr="00EF4A01">
        <w:rPr>
          <w:rFonts w:ascii="宋体" w:eastAsia="宋体" w:hAnsi="宋体" w:cs="宋体"/>
          <w:color w:val="888888"/>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9.75pt;height:9.75pt" o:ole="">
            <v:imagedata r:id="rId7" o:title=""/>
          </v:shape>
          <w:control r:id="rId8" w:name="DefaultOcxName" w:shapeid="_x0000_i1042"/>
        </w:objec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object w:dxaOrig="1440" w:dyaOrig="1440">
          <v:shape id="_x0000_i1041" type="#_x0000_t75" style="width:9.75pt;height:9.75pt" o:ole="">
            <v:imagedata r:id="rId9" o:title=""/>
          </v:shape>
          <w:control r:id="rId10" w:name="DefaultOcxName1" w:shapeid="_x0000_i1041"/>
        </w:objec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object w:dxaOrig="1440" w:dyaOrig="1440">
          <v:shape id="_x0000_i1040" type="#_x0000_t75" style="width:9.75pt;height:9.75pt" o:ole="">
            <v:imagedata r:id="rId11" o:title=""/>
          </v:shape>
          <w:control r:id="rId12" w:name="DefaultOcxName2" w:shapeid="_x0000_i1040"/>
        </w:objec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object w:dxaOrig="1440" w:dyaOrig="1440">
          <v:shape id="_x0000_i1039" type="#_x0000_t75" style="width:9.75pt;height:9.75pt" o:ole="">
            <v:imagedata r:id="rId13" o:title=""/>
          </v:shape>
          <w:control r:id="rId14" w:name="DefaultOcxName3" w:shapeid="_x0000_i1039"/>
        </w:object>
      </w:r>
      <w:r w:rsidRPr="00EF4A01">
        <w:rPr>
          <w:rFonts w:ascii="宋体" w:eastAsia="宋体" w:hAnsi="宋体" w:cs="宋体"/>
          <w:color w:val="888888"/>
          <w:kern w:val="0"/>
          <w:sz w:val="18"/>
          <w:szCs w:val="18"/>
        </w:rPr>
        <w:t> </w:t>
      </w:r>
      <w:r w:rsidRPr="00EF4A01">
        <w:rPr>
          <w:rFonts w:ascii="宋体" w:eastAsia="宋体" w:hAnsi="宋体" w:cs="宋体"/>
          <w:color w:val="888888"/>
          <w:kern w:val="0"/>
          <w:sz w:val="18"/>
          <w:szCs w:val="18"/>
        </w:rPr>
        <w:object w:dxaOrig="1440" w:dyaOrig="1440">
          <v:shape id="_x0000_i1038" type="#_x0000_t75" style="width:9.75pt;height:9.75pt" o:ole="">
            <v:imagedata r:id="rId15" o:title=""/>
          </v:shape>
          <w:control r:id="rId16" w:name="DefaultOcxName4" w:shapeid="_x0000_i1038"/>
        </w:object>
      </w:r>
      <w:r w:rsidRPr="00EF4A01">
        <w:rPr>
          <w:rFonts w:ascii="宋体" w:eastAsia="宋体" w:hAnsi="宋体" w:cs="宋体"/>
          <w:color w:val="888888"/>
          <w:kern w:val="0"/>
          <w:sz w:val="18"/>
          <w:szCs w:val="18"/>
        </w:rPr>
        <w:t xml:space="preserve"> </w:t>
      </w:r>
      <w:r w:rsidRPr="00EF4A01">
        <w:rPr>
          <w:rFonts w:ascii="宋体" w:eastAsia="宋体" w:hAnsi="宋体" w:cs="宋体"/>
          <w:color w:val="888888"/>
          <w:kern w:val="0"/>
          <w:sz w:val="18"/>
          <w:szCs w:val="18"/>
        </w:rPr>
        <w:object w:dxaOrig="1440" w:dyaOrig="1440">
          <v:shape id="_x0000_i1037" type="#_x0000_t75" style="width:9.75pt;height:9.75pt" o:ole="">
            <v:imagedata r:id="rId17" o:title=""/>
          </v:shape>
          <w:control r:id="rId18" w:name="DefaultOcxName5" w:shapeid="_x0000_i1037"/>
        </w:object>
      </w:r>
    </w:p>
    <w:p w:rsidR="00EF4A01" w:rsidRPr="00EF4A01" w:rsidRDefault="00EF4A01" w:rsidP="00EF4A01">
      <w:pPr>
        <w:widowControl/>
        <w:spacing w:line="600" w:lineRule="atLeast"/>
        <w:jc w:val="left"/>
        <w:rPr>
          <w:rFonts w:ascii="微软雅黑" w:eastAsia="微软雅黑" w:hAnsi="微软雅黑" w:cs="宋体"/>
          <w:color w:val="333333"/>
          <w:kern w:val="0"/>
          <w:szCs w:val="21"/>
        </w:rPr>
      </w:pPr>
      <w:r w:rsidRPr="00EF4A01">
        <w:rPr>
          <w:rFonts w:ascii="仿宋_GB2312" w:eastAsia="仿宋_GB2312" w:hAnsi="微软雅黑" w:cs="宋体" w:hint="eastAsia"/>
          <w:color w:val="333333"/>
          <w:kern w:val="0"/>
          <w:sz w:val="32"/>
          <w:szCs w:val="32"/>
        </w:rPr>
        <w:t>各乡镇人民政府，县政府各工作部门；贵州凤冈经济开发区：</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微型企业是一种雇员人数少，产权和经营权高度集中，产品服务种类单一、经营规模微小的企业组织，在增加就业、促进经济增长、科技创新与社会和谐稳定等方面具有不可替代的作用，对促进县域经济和社会发展具有重要的战略意义。为进一步加快我县微型企业发展，积极营造全民创业环境，结合我县实际，特制定本意见。</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一、微型企业认定标准及资格条件。本意见微型企业是指符合工信部联企业〔2011〕300号文件《关于印发中小企业划型标准规定的通知》和《贵州省工商行政管理局扶持微型企业发展初审工作指导意见（试行）》（修订）（黔工商微〔2013〕121号）文件划型标准的微型企业。</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本省籍国家非禁止办企业的人员，符合城镇国土规划、环境保护和安全生产要求，可申办微型企业，经审查合格可享受相应政策扶持。</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二、放宽微型企业工商登记注册条件。注册资本由实缴登记制改为认缴登记制。注册资本改为认缴登记制后，企业办理工商登记时，不再提交验资报告；企业年检制度改为年度报告制度；除国家法律法规明确规定前置许可的项目外，</w:t>
      </w:r>
      <w:r w:rsidRPr="00EF4A01">
        <w:rPr>
          <w:rFonts w:ascii="仿宋_GB2312" w:eastAsia="仿宋_GB2312" w:hAnsi="微软雅黑" w:cs="宋体" w:hint="eastAsia"/>
          <w:color w:val="333333"/>
          <w:kern w:val="0"/>
          <w:sz w:val="32"/>
          <w:szCs w:val="32"/>
        </w:rPr>
        <w:lastRenderedPageBreak/>
        <w:t>任何部门不得设置办理许可证照的前置条件</w:t>
      </w:r>
      <w:r w:rsidRPr="00EF4A01">
        <w:rPr>
          <w:rFonts w:ascii="宋体" w:eastAsia="宋体" w:hAnsi="宋体" w:cs="宋体" w:hint="eastAsia"/>
          <w:color w:val="333333"/>
          <w:kern w:val="0"/>
          <w:sz w:val="32"/>
          <w:szCs w:val="32"/>
        </w:rPr>
        <w:t>；</w:t>
      </w:r>
      <w:r w:rsidRPr="00EF4A01">
        <w:rPr>
          <w:rFonts w:ascii="仿宋_GB2312" w:eastAsia="仿宋_GB2312" w:hAnsi="微软雅黑" w:cs="宋体" w:hint="eastAsia"/>
          <w:color w:val="333333"/>
          <w:kern w:val="0"/>
          <w:sz w:val="32"/>
          <w:szCs w:val="32"/>
        </w:rPr>
        <w:t>对申请过程中一般条件尚有欠缺的，可边建边报或先核发营业执照试运行半年。</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三、加大行政审批服务。新办微型企业的行政审批（核）手续一律由县微企办在10个工作日内协助办理完毕；在县政务服务大厅增设微企服务窗口，协调各部门的各项行政审批手续。相关部门在收到申请后，1个工作日内予以答复。属县内审批的项目，3个工作日内办结有关手续；需上报审批的项目，2个工作日内办结上报手续。</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四、给予优惠、宽松的用地政策。涉农项目直接用于经营养殖的畜禽舍、工厂化作物栽培或水产养殖的生产设施用地及其相应附属设施用地，按农用地管理；在规划景区内从事文化旅游、乡村旅舍、特色旅游商品加工以及涉农项目等设施建设用地，以成本地价予以支持，并从乡镇企业用地渠道报批。加工业和其他</w:t>
      </w:r>
    </w:p>
    <w:p w:rsidR="00EF4A01" w:rsidRPr="00EF4A01" w:rsidRDefault="00EF4A01" w:rsidP="00EF4A01">
      <w:pPr>
        <w:widowControl/>
        <w:spacing w:line="560" w:lineRule="atLeast"/>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非农项目的永久性生产经营设施用地，依法优先审批。</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五、严格涉企收费减免规定。加大对向企业乱收费、乱罚款和各种摊派行为监督检查的力度，严格执行收费公示制度，加强社会和舆论监督，完善微型企业收费维权机制。对微型企业按照我省关于免征微企行政事业性收费的相关规定免征管理类、登记类、证照类、审批类等行政事业性收费。</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lastRenderedPageBreak/>
        <w:t>六、完善税收奖励。在我县新办的微型企业，除享受微型企业的扶持政策外，还可享受西部大开发和武陵山区扶贫开发相关税收的优惠政策。县微企办督促相关部门认真落实15万元的税收奖励政策，增强政府公信力。</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七、加大财政支持力度。对从事民族产品加工、特色食品加工、农产品深加工、文化旅游、科技创新领域的微型企业进行重点扶持，积极争取上级投资和县级安排一定财政资金，注入发展前景好、带动就业人员较多的企业。县级财政每年预算必要的经费用于扶持微型企业，重点扶持做大做强的企业，重点用于贷款贴息、贷款担保、企业人才引进、员工培训等。</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八、加大工业园区支持力度，提升微型企业竞争力。对符合我县产业导向，发展思路清晰，市场前景好、带动就业人数较多的微型企业，鼓励申请入驻贵州凤冈经济开发区专设区域集中生产或经营，入驻企业需购置标准厂房或自建生产经营厂房的，采用一事一议的办法解决。</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九、加大金融服务力度。就业、创业小额担保贷款要重点向</w:t>
      </w:r>
    </w:p>
    <w:p w:rsidR="00EF4A01" w:rsidRPr="00EF4A01" w:rsidRDefault="00EF4A01" w:rsidP="00EF4A01">
      <w:pPr>
        <w:widowControl/>
        <w:spacing w:line="560" w:lineRule="atLeast"/>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微型企业倾斜，支持微型企业发展。积极鼓励金融机构对管理规范、符合条件的微型企业进行信用评级、授信：对微型企业贷款按贷款行的优惠利率执行；鼓励金融机构开展厂房</w:t>
      </w:r>
      <w:r w:rsidRPr="00EF4A01">
        <w:rPr>
          <w:rFonts w:ascii="仿宋_GB2312" w:eastAsia="仿宋_GB2312" w:hAnsi="微软雅黑" w:cs="宋体" w:hint="eastAsia"/>
          <w:color w:val="333333"/>
          <w:kern w:val="0"/>
          <w:sz w:val="32"/>
          <w:szCs w:val="32"/>
        </w:rPr>
        <w:lastRenderedPageBreak/>
        <w:t>抵押、基地抵押、农村土地抵押、农村房屋产权抵押和林权抵押等抵押贷款业务，拓宽微型企业融资渠道。</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贷款担保机构要按照相关规定认真履行担保责任，担保机构要与金融机构建立呆坏账认定和处理制度，按损失金额一定比例承担责任，不能担而不保。</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十、大力发展电子商务企业。鼓励创业者在淘宝网[天猫]商城及其他电子商务平台开设网店，对专业从事农业、制造业、服务业等网络交易的微型企业实行奖励。在淘宝网[天猫]开设店铺满3个月以上、全店以经营凤冈区域内企业产品为主、连续3个月平均月销量300笔（客单价大于30元）以上、网络动态评分4.6以上和在违规记录上一般违规累计扣分不大于12分、无严重违规扣分且无出售假冒商品扣分的企业，县人民政府根据销售量给予适当奖励。</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十一、围绕建设“黔东北区域性大牲畜交易中心”，加大扶持畜禽产品养殖企业力度。对畜禽养殖企业在办理相关手续时，微企办要及时提供申报企业名册，由县工商局或微企办牵头，组织畜牧、环保、国土等部门和所在乡镇政府逐户实地调查、分户审批。环保部门对符合环保条件的出具环境备案审查意见（备案登记表），由县畜牧办办理《动物养殖条件合格证》给养殖户后，</w:t>
      </w:r>
    </w:p>
    <w:p w:rsidR="00EF4A01" w:rsidRPr="00EF4A01" w:rsidRDefault="00EF4A01" w:rsidP="00EF4A01">
      <w:pPr>
        <w:widowControl/>
        <w:spacing w:line="560" w:lineRule="atLeast"/>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到县微企办申报微企政策扶持。</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lastRenderedPageBreak/>
        <w:t>十二、加大宣传推广力度。县人民政府每年利用招商引资活动和网络、电视、报刊等媒体推介我县微型企业，帮助微型企业搭建各类展示平台。县微企办每年组织1次微型企业产品展示会，展示微型企业产品或成果。县人民政府每两年评选“十佳微型企业”，并给予适当奖励。对我县经济社会建设和公益事业发展做出重大贡献的外来投资者，授予“荣誉市民”称号。</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十三、加大品牌扶持力度。对获得中国名牌产品、中国驰名商标、地理标识产品的、贵州省名牌产品、贵州省著名商标的、国家发明专利、适用新型和外观设计专利授权的，以及微型企业转型升级成为国家、省级、市级龙头企业的，县人民政府按招商引资企业的相关奖励政策给予奖励。</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十四、加大组织保障力度。每年选20家微型企业由县乡领导挂帮，挂帮领导必须定期和不定期深入挂帮企业调研，帮助企业排忧解难。纪检监察部门要严厉查处干部及服务部门损害微型企业利益的违纪违规行为；政法部门要严厉打击侵害微型企业正常经营的违法行为，维护微型企业合法权益；人社部门要积极开展微型企业创办人员的培训工作；宣传部门要加大微型企业宣传和推介；县工商局要规范建立微型企业发展档案，加强对微型企业的组织管理，每年组织微型企业通过走访、座谈、参观、学习等方式，汇聚集体智慧，建立金点子库，帮助微型企业解决发展中存在的困难和问题。</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lastRenderedPageBreak/>
        <w:t>十五、加大微型企业财政资金的管控力度。财政部门要认真落实省、市、县配套资金，确保在当年10月前分期拨付到微型企业账户。县银监局要加大对开户行的监管力度，督促各开户行要严格执行《贵州省扶持微型企业发展实施办法》（黔工商办</w:t>
      </w:r>
      <w:r w:rsidRPr="00EF4A01">
        <w:rPr>
          <w:rFonts w:ascii="宋体" w:eastAsia="宋体" w:hAnsi="宋体" w:cs="宋体" w:hint="eastAsia"/>
          <w:color w:val="333333"/>
          <w:kern w:val="0"/>
          <w:sz w:val="32"/>
          <w:szCs w:val="32"/>
        </w:rPr>
        <w:t>﹝</w:t>
      </w:r>
      <w:r w:rsidRPr="00EF4A01">
        <w:rPr>
          <w:rFonts w:ascii="仿宋_GB2312" w:eastAsia="仿宋_GB2312" w:hAnsi="微软雅黑" w:cs="宋体" w:hint="eastAsia"/>
          <w:color w:val="333333"/>
          <w:kern w:val="0"/>
          <w:sz w:val="32"/>
          <w:szCs w:val="32"/>
        </w:rPr>
        <w:t>2012〕24号）的相关规定，微型企业在使用财政补助金时，应提交经县微企办审核同意的申请表后，开户银行方可支付补助资金。县微企办收到微型企业使用财政资金申请书，应及时组织人员深入企业进行复查验收，验收合格后方可同意支付财政补助金，防止套取财政资金违法违规行为的发生。对套取财政补助金的违法违规行为，县微企办要会同相关部门依法处理。</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十六、微型企业发展工作纳入年终目标考核。所需工作经费纳入县级财政预算，由财政部门按实际任务完成情况拨付。</w:t>
      </w:r>
    </w:p>
    <w:p w:rsidR="00EF4A01" w:rsidRPr="00EF4A01" w:rsidRDefault="00EF4A01" w:rsidP="00EF4A01">
      <w:pPr>
        <w:widowControl/>
        <w:spacing w:line="560" w:lineRule="atLeast"/>
        <w:ind w:firstLine="640"/>
        <w:jc w:val="lef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kern w:val="0"/>
          <w:sz w:val="32"/>
          <w:szCs w:val="32"/>
        </w:rPr>
        <w:t>十七、本意见由县微型企业领导小组办公室负责解释，自发布之日起施行。</w:t>
      </w:r>
    </w:p>
    <w:p w:rsidR="00EF4A01" w:rsidRPr="00EF4A01" w:rsidRDefault="00EF4A01" w:rsidP="00EF4A01">
      <w:pPr>
        <w:widowControl/>
        <w:spacing w:line="560" w:lineRule="atLeast"/>
        <w:jc w:val="left"/>
        <w:rPr>
          <w:rFonts w:ascii="微软雅黑" w:eastAsia="微软雅黑" w:hAnsi="微软雅黑" w:cs="宋体" w:hint="eastAsia"/>
          <w:color w:val="333333"/>
          <w:kern w:val="0"/>
          <w:szCs w:val="21"/>
        </w:rPr>
      </w:pPr>
      <w:r w:rsidRPr="00EF4A01">
        <w:rPr>
          <w:rFonts w:ascii="宋体" w:eastAsia="宋体" w:hAnsi="宋体" w:cs="宋体" w:hint="eastAsia"/>
          <w:color w:val="333333"/>
          <w:kern w:val="0"/>
          <w:sz w:val="32"/>
          <w:szCs w:val="32"/>
        </w:rPr>
        <w:t> </w:t>
      </w:r>
    </w:p>
    <w:p w:rsidR="00EF4A01" w:rsidRPr="00EF4A01" w:rsidRDefault="00EF4A01" w:rsidP="00EF4A01">
      <w:pPr>
        <w:widowControl/>
        <w:spacing w:line="560" w:lineRule="atLeast"/>
        <w:jc w:val="left"/>
        <w:rPr>
          <w:rFonts w:ascii="微软雅黑" w:eastAsia="微软雅黑" w:hAnsi="微软雅黑" w:cs="宋体" w:hint="eastAsia"/>
          <w:color w:val="333333"/>
          <w:kern w:val="0"/>
          <w:szCs w:val="21"/>
        </w:rPr>
      </w:pPr>
      <w:r w:rsidRPr="00EF4A01">
        <w:rPr>
          <w:rFonts w:ascii="宋体" w:eastAsia="宋体" w:hAnsi="宋体" w:cs="宋体" w:hint="eastAsia"/>
          <w:color w:val="333333"/>
          <w:kern w:val="0"/>
          <w:sz w:val="32"/>
          <w:szCs w:val="32"/>
        </w:rPr>
        <w:t> </w:t>
      </w:r>
    </w:p>
    <w:p w:rsidR="00EF4A01" w:rsidRPr="00EF4A01" w:rsidRDefault="00EF4A01" w:rsidP="00EF4A01">
      <w:pPr>
        <w:widowControl/>
        <w:spacing w:line="560" w:lineRule="atLeast"/>
        <w:jc w:val="left"/>
        <w:rPr>
          <w:rFonts w:ascii="微软雅黑" w:eastAsia="微软雅黑" w:hAnsi="微软雅黑" w:cs="宋体" w:hint="eastAsia"/>
          <w:color w:val="333333"/>
          <w:kern w:val="0"/>
          <w:szCs w:val="21"/>
        </w:rPr>
      </w:pPr>
      <w:r w:rsidRPr="00EF4A01">
        <w:rPr>
          <w:rFonts w:ascii="宋体" w:eastAsia="宋体" w:hAnsi="宋体" w:cs="宋体" w:hint="eastAsia"/>
          <w:color w:val="333333"/>
          <w:kern w:val="0"/>
          <w:sz w:val="32"/>
          <w:szCs w:val="32"/>
        </w:rPr>
        <w:t> </w:t>
      </w:r>
    </w:p>
    <w:p w:rsidR="00EF4A01" w:rsidRPr="00EF4A01" w:rsidRDefault="00EF4A01" w:rsidP="00EF4A01">
      <w:pPr>
        <w:widowControl/>
        <w:spacing w:line="560" w:lineRule="atLeast"/>
        <w:ind w:right="1283"/>
        <w:jc w:val="right"/>
        <w:rPr>
          <w:rFonts w:ascii="微软雅黑" w:eastAsia="微软雅黑" w:hAnsi="微软雅黑" w:cs="宋体" w:hint="eastAsia"/>
          <w:color w:val="333333"/>
          <w:kern w:val="0"/>
          <w:szCs w:val="21"/>
        </w:rPr>
      </w:pPr>
      <w:r w:rsidRPr="00EF4A01">
        <w:rPr>
          <w:rFonts w:ascii="仿宋_GB2312" w:eastAsia="仿宋_GB2312" w:hAnsi="微软雅黑" w:cs="宋体" w:hint="eastAsia"/>
          <w:color w:val="333333"/>
          <w:spacing w:val="40"/>
          <w:kern w:val="0"/>
          <w:sz w:val="32"/>
          <w:szCs w:val="32"/>
        </w:rPr>
        <w:t>2014年3月13日</w:t>
      </w:r>
    </w:p>
    <w:p w:rsidR="007042FA" w:rsidRPr="00EF4A01" w:rsidRDefault="007042FA" w:rsidP="00EF4A01">
      <w:bookmarkStart w:id="0" w:name="_GoBack"/>
      <w:bookmarkEnd w:id="0"/>
    </w:p>
    <w:sectPr w:rsidR="007042FA" w:rsidRPr="00EF4A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408"/>
    <w:rsid w:val="00473408"/>
    <w:rsid w:val="007042FA"/>
    <w:rsid w:val="00EF4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4A01"/>
  </w:style>
  <w:style w:type="character" w:customStyle="1" w:styleId="smallfont">
    <w:name w:val="smallfont"/>
    <w:basedOn w:val="a0"/>
    <w:rsid w:val="00EF4A01"/>
  </w:style>
  <w:style w:type="character" w:customStyle="1" w:styleId="medfont">
    <w:name w:val="medfont"/>
    <w:basedOn w:val="a0"/>
    <w:rsid w:val="00EF4A01"/>
  </w:style>
  <w:style w:type="character" w:customStyle="1" w:styleId="largefont">
    <w:name w:val="largefont"/>
    <w:basedOn w:val="a0"/>
    <w:rsid w:val="00EF4A01"/>
  </w:style>
  <w:style w:type="character" w:customStyle="1" w:styleId="artprint">
    <w:name w:val="artprint"/>
    <w:basedOn w:val="a0"/>
    <w:rsid w:val="00EF4A01"/>
  </w:style>
  <w:style w:type="character" w:styleId="a3">
    <w:name w:val="Hyperlink"/>
    <w:basedOn w:val="a0"/>
    <w:uiPriority w:val="99"/>
    <w:semiHidden/>
    <w:unhideWhenUsed/>
    <w:rsid w:val="00EF4A01"/>
    <w:rPr>
      <w:color w:val="0000FF"/>
      <w:u w:val="single"/>
    </w:rPr>
  </w:style>
  <w:style w:type="character" w:customStyle="1" w:styleId="close">
    <w:name w:val="close"/>
    <w:basedOn w:val="a0"/>
    <w:rsid w:val="00EF4A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F4A01"/>
  </w:style>
  <w:style w:type="character" w:customStyle="1" w:styleId="smallfont">
    <w:name w:val="smallfont"/>
    <w:basedOn w:val="a0"/>
    <w:rsid w:val="00EF4A01"/>
  </w:style>
  <w:style w:type="character" w:customStyle="1" w:styleId="medfont">
    <w:name w:val="medfont"/>
    <w:basedOn w:val="a0"/>
    <w:rsid w:val="00EF4A01"/>
  </w:style>
  <w:style w:type="character" w:customStyle="1" w:styleId="largefont">
    <w:name w:val="largefont"/>
    <w:basedOn w:val="a0"/>
    <w:rsid w:val="00EF4A01"/>
  </w:style>
  <w:style w:type="character" w:customStyle="1" w:styleId="artprint">
    <w:name w:val="artprint"/>
    <w:basedOn w:val="a0"/>
    <w:rsid w:val="00EF4A01"/>
  </w:style>
  <w:style w:type="character" w:styleId="a3">
    <w:name w:val="Hyperlink"/>
    <w:basedOn w:val="a0"/>
    <w:uiPriority w:val="99"/>
    <w:semiHidden/>
    <w:unhideWhenUsed/>
    <w:rsid w:val="00EF4A01"/>
    <w:rPr>
      <w:color w:val="0000FF"/>
      <w:u w:val="single"/>
    </w:rPr>
  </w:style>
  <w:style w:type="character" w:customStyle="1" w:styleId="close">
    <w:name w:val="close"/>
    <w:basedOn w:val="a0"/>
    <w:rsid w:val="00EF4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26881">
      <w:bodyDiv w:val="1"/>
      <w:marLeft w:val="0"/>
      <w:marRight w:val="0"/>
      <w:marTop w:val="0"/>
      <w:marBottom w:val="0"/>
      <w:divBdr>
        <w:top w:val="none" w:sz="0" w:space="0" w:color="auto"/>
        <w:left w:val="none" w:sz="0" w:space="0" w:color="auto"/>
        <w:bottom w:val="none" w:sz="0" w:space="0" w:color="auto"/>
        <w:right w:val="none" w:sz="0" w:space="0" w:color="auto"/>
      </w:divBdr>
      <w:divsChild>
        <w:div w:id="1679506750">
          <w:marLeft w:val="0"/>
          <w:marRight w:val="0"/>
          <w:marTop w:val="120"/>
          <w:marBottom w:val="0"/>
          <w:divBdr>
            <w:top w:val="none" w:sz="0" w:space="0" w:color="auto"/>
            <w:left w:val="none" w:sz="0" w:space="0" w:color="auto"/>
            <w:bottom w:val="none" w:sz="0" w:space="0" w:color="auto"/>
            <w:right w:val="none" w:sz="0" w:space="0" w:color="auto"/>
          </w:divBdr>
        </w:div>
        <w:div w:id="211039158">
          <w:marLeft w:val="0"/>
          <w:marRight w:val="0"/>
          <w:marTop w:val="300"/>
          <w:marBottom w:val="0"/>
          <w:divBdr>
            <w:top w:val="none" w:sz="0" w:space="0" w:color="auto"/>
            <w:left w:val="none" w:sz="0" w:space="0" w:color="auto"/>
            <w:bottom w:val="single" w:sz="6" w:space="0"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wmf"/><Relationship Id="rId18"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control" Target="activeX/activeX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window.close()" TargetMode="External"/><Relationship Id="rId11" Type="http://schemas.openxmlformats.org/officeDocument/2006/relationships/image" Target="media/image3.wmf"/><Relationship Id="rId5" Type="http://schemas.openxmlformats.org/officeDocument/2006/relationships/hyperlink" Target="javascript:window.print();" TargetMode="External"/><Relationship Id="rId15" Type="http://schemas.openxmlformats.org/officeDocument/2006/relationships/image" Target="media/image5.wmf"/><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2018-05-23T07:57:00Z</dcterms:created>
  <dcterms:modified xsi:type="dcterms:W3CDTF">2018-05-23T07:57:00Z</dcterms:modified>
</cp:coreProperties>
</file>