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306" w:type="dxa"/>
        <w:tblCellSpacing w:w="0" w:type="dxa"/>
        <w:tblInd w:w="0" w:type="dxa"/>
        <w:shd w:val="clear" w:color="auto" w:fill="FFFFFF"/>
        <w:tblLayout w:type="fixed"/>
        <w:tblCellMar>
          <w:top w:w="0" w:type="dxa"/>
          <w:left w:w="0" w:type="dxa"/>
          <w:bottom w:w="0" w:type="dxa"/>
          <w:right w:w="0" w:type="dxa"/>
        </w:tblCellMar>
      </w:tblPr>
      <w:tblGrid>
        <w:gridCol w:w="8306"/>
      </w:tblGrid>
      <w:tr>
        <w:tblPrEx>
          <w:shd w:val="clear" w:color="auto" w:fill="FFFFFF"/>
          <w:tblLayout w:type="fixed"/>
          <w:tblCellMar>
            <w:top w:w="0" w:type="dxa"/>
            <w:left w:w="0" w:type="dxa"/>
            <w:bottom w:w="0" w:type="dxa"/>
            <w:right w:w="0" w:type="dxa"/>
          </w:tblCellMar>
        </w:tblPrEx>
        <w:trPr>
          <w:trHeight w:val="825" w:hRule="atLeast"/>
          <w:tblCellSpacing w:w="0" w:type="dxa"/>
        </w:trPr>
        <w:tc>
          <w:tcPr>
            <w:tcW w:w="8306" w:type="dxa"/>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ascii="微软雅黑" w:hAnsi="微软雅黑" w:eastAsia="微软雅黑" w:cs="微软雅黑"/>
                <w:b w:val="0"/>
                <w:i w:val="0"/>
                <w:caps w:val="0"/>
                <w:color w:val="CC0000"/>
                <w:spacing w:val="0"/>
                <w:sz w:val="27"/>
                <w:szCs w:val="27"/>
              </w:rPr>
            </w:pPr>
            <w:bookmarkStart w:id="0" w:name="_GoBack"/>
            <w:r>
              <w:rPr>
                <w:rFonts w:hint="eastAsia" w:ascii="微软雅黑" w:hAnsi="微软雅黑" w:eastAsia="微软雅黑" w:cs="微软雅黑"/>
                <w:b w:val="0"/>
                <w:i w:val="0"/>
                <w:caps w:val="0"/>
                <w:color w:val="CC0000"/>
                <w:spacing w:val="0"/>
                <w:kern w:val="0"/>
                <w:sz w:val="27"/>
                <w:szCs w:val="27"/>
                <w:bdr w:val="none" w:color="auto" w:sz="0" w:space="0"/>
                <w:lang w:val="en-US" w:eastAsia="zh-CN" w:bidi="ar"/>
              </w:rPr>
              <w:t>龙岩市新罗区人民政府关于印发进一步推进商标品牌发展实施意见的通知</w:t>
            </w:r>
            <w:bookmarkEnd w:id="0"/>
          </w:p>
        </w:tc>
      </w:tr>
      <w:tr>
        <w:tblPrEx>
          <w:tblLayout w:type="fixed"/>
          <w:tblCellMar>
            <w:top w:w="0" w:type="dxa"/>
            <w:left w:w="0" w:type="dxa"/>
            <w:bottom w:w="0" w:type="dxa"/>
            <w:right w:w="0" w:type="dxa"/>
          </w:tblCellMar>
        </w:tblPrEx>
        <w:trPr>
          <w:tblCellSpacing w:w="0" w:type="dxa"/>
        </w:trPr>
        <w:tc>
          <w:tcPr>
            <w:tcW w:w="8306" w:type="dxa"/>
            <w:shd w:val="clear" w:color="auto" w:fill="FFFFFF"/>
            <w:vAlign w:val="center"/>
          </w:tcPr>
          <w:p>
            <w:pPr>
              <w:keepNext w:val="0"/>
              <w:keepLines w:val="0"/>
              <w:widowControl/>
              <w:suppressLineNumbers w:val="0"/>
              <w:spacing w:before="0" w:beforeAutospacing="0" w:after="0" w:afterAutospacing="0" w:line="480" w:lineRule="atLeast"/>
              <w:ind w:left="0" w:right="0" w:firstLine="0"/>
              <w:jc w:val="center"/>
              <w:rPr>
                <w:rFonts w:ascii="宋体" w:hAnsi="宋体" w:eastAsia="宋体" w:cs="宋体"/>
                <w:b w:val="0"/>
                <w:i w:val="0"/>
                <w:caps w:val="0"/>
                <w:color w:val="333333"/>
                <w:spacing w:val="0"/>
                <w:sz w:val="21"/>
                <w:szCs w:val="21"/>
              </w:rPr>
            </w:pPr>
            <w:r>
              <w:rPr>
                <w:rFonts w:ascii="宋体" w:hAnsi="宋体" w:eastAsia="宋体" w:cs="宋体"/>
                <w:b w:val="0"/>
                <w:i w:val="0"/>
                <w:caps w:val="0"/>
                <w:color w:val="333333"/>
                <w:spacing w:val="0"/>
                <w:kern w:val="0"/>
                <w:sz w:val="21"/>
                <w:szCs w:val="21"/>
                <w:bdr w:val="none" w:color="auto" w:sz="0" w:space="0"/>
                <w:lang w:val="en-US" w:eastAsia="zh-CN" w:bidi="ar"/>
              </w:rPr>
              <w:t>字体：[ </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begin"/>
            </w:r>
            <w:r>
              <w:rPr>
                <w:rFonts w:ascii="宋体" w:hAnsi="宋体" w:eastAsia="宋体" w:cs="宋体"/>
                <w:b w:val="0"/>
                <w:i w:val="0"/>
                <w:caps w:val="0"/>
                <w:color w:val="333333"/>
                <w:spacing w:val="0"/>
                <w:kern w:val="0"/>
                <w:sz w:val="21"/>
                <w:szCs w:val="21"/>
                <w:u w:val="none"/>
                <w:bdr w:val="none" w:color="auto" w:sz="0" w:space="0"/>
                <w:lang w:val="en-US" w:eastAsia="zh-CN" w:bidi="ar"/>
              </w:rPr>
              <w:instrText xml:space="preserve"> HYPERLINK "http://xxgk.longyan.gov.cn/srmzf/zfxxgkml/02/05/201612/javascript:fontZoomC();" </w:instrTex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separate"/>
            </w:r>
            <w:r>
              <w:rPr>
                <w:rStyle w:val="5"/>
                <w:rFonts w:ascii="宋体" w:hAnsi="宋体" w:eastAsia="宋体" w:cs="宋体"/>
                <w:b w:val="0"/>
                <w:i w:val="0"/>
                <w:caps w:val="0"/>
                <w:color w:val="333333"/>
                <w:spacing w:val="0"/>
                <w:sz w:val="21"/>
                <w:szCs w:val="21"/>
                <w:u w:val="none"/>
                <w:bdr w:val="none" w:color="auto" w:sz="0" w:space="0"/>
              </w:rPr>
              <w:t>大</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end"/>
            </w:r>
            <w:r>
              <w:rPr>
                <w:rFonts w:ascii="宋体" w:hAnsi="宋体" w:eastAsia="宋体" w:cs="宋体"/>
                <w:b w:val="0"/>
                <w:i w:val="0"/>
                <w:caps w:val="0"/>
                <w:color w:val="333333"/>
                <w:spacing w:val="0"/>
                <w:kern w:val="0"/>
                <w:sz w:val="21"/>
                <w:szCs w:val="21"/>
                <w:bdr w:val="none" w:color="auto" w:sz="0" w:space="0"/>
                <w:lang w:val="en-US" w:eastAsia="zh-CN" w:bidi="ar"/>
              </w:rPr>
              <w:t> </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begin"/>
            </w:r>
            <w:r>
              <w:rPr>
                <w:rFonts w:ascii="宋体" w:hAnsi="宋体" w:eastAsia="宋体" w:cs="宋体"/>
                <w:b w:val="0"/>
                <w:i w:val="0"/>
                <w:caps w:val="0"/>
                <w:color w:val="333333"/>
                <w:spacing w:val="0"/>
                <w:kern w:val="0"/>
                <w:sz w:val="21"/>
                <w:szCs w:val="21"/>
                <w:u w:val="none"/>
                <w:bdr w:val="none" w:color="auto" w:sz="0" w:space="0"/>
                <w:lang w:val="en-US" w:eastAsia="zh-CN" w:bidi="ar"/>
              </w:rPr>
              <w:instrText xml:space="preserve"> HYPERLINK "http://xxgk.longyan.gov.cn/srmzf/zfxxgkml/02/05/201612/javascript:fontZoomB();" </w:instrTex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separate"/>
            </w:r>
            <w:r>
              <w:rPr>
                <w:rStyle w:val="5"/>
                <w:rFonts w:ascii="宋体" w:hAnsi="宋体" w:eastAsia="宋体" w:cs="宋体"/>
                <w:b w:val="0"/>
                <w:i w:val="0"/>
                <w:caps w:val="0"/>
                <w:color w:val="333333"/>
                <w:spacing w:val="0"/>
                <w:sz w:val="21"/>
                <w:szCs w:val="21"/>
                <w:u w:val="none"/>
                <w:bdr w:val="none" w:color="auto" w:sz="0" w:space="0"/>
              </w:rPr>
              <w:t>中</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end"/>
            </w:r>
            <w:r>
              <w:rPr>
                <w:rFonts w:ascii="宋体" w:hAnsi="宋体" w:eastAsia="宋体" w:cs="宋体"/>
                <w:b w:val="0"/>
                <w:i w:val="0"/>
                <w:caps w:val="0"/>
                <w:color w:val="333333"/>
                <w:spacing w:val="0"/>
                <w:kern w:val="0"/>
                <w:sz w:val="21"/>
                <w:szCs w:val="21"/>
                <w:bdr w:val="none" w:color="auto" w:sz="0" w:space="0"/>
                <w:lang w:val="en-US" w:eastAsia="zh-CN" w:bidi="ar"/>
              </w:rPr>
              <w:t> </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begin"/>
            </w:r>
            <w:r>
              <w:rPr>
                <w:rFonts w:ascii="宋体" w:hAnsi="宋体" w:eastAsia="宋体" w:cs="宋体"/>
                <w:b w:val="0"/>
                <w:i w:val="0"/>
                <w:caps w:val="0"/>
                <w:color w:val="333333"/>
                <w:spacing w:val="0"/>
                <w:kern w:val="0"/>
                <w:sz w:val="21"/>
                <w:szCs w:val="21"/>
                <w:u w:val="none"/>
                <w:bdr w:val="none" w:color="auto" w:sz="0" w:space="0"/>
                <w:lang w:val="en-US" w:eastAsia="zh-CN" w:bidi="ar"/>
              </w:rPr>
              <w:instrText xml:space="preserve"> HYPERLINK "http://xxgk.longyan.gov.cn/srmzf/zfxxgkml/02/05/201612/javascript:fontZoomA();" </w:instrTex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separate"/>
            </w:r>
            <w:r>
              <w:rPr>
                <w:rStyle w:val="5"/>
                <w:rFonts w:ascii="宋体" w:hAnsi="宋体" w:eastAsia="宋体" w:cs="宋体"/>
                <w:b w:val="0"/>
                <w:i w:val="0"/>
                <w:caps w:val="0"/>
                <w:color w:val="333333"/>
                <w:spacing w:val="0"/>
                <w:sz w:val="21"/>
                <w:szCs w:val="21"/>
                <w:u w:val="none"/>
                <w:bdr w:val="none" w:color="auto" w:sz="0" w:space="0"/>
              </w:rPr>
              <w:t>小</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end"/>
            </w:r>
            <w:r>
              <w:rPr>
                <w:rFonts w:ascii="宋体" w:hAnsi="宋体" w:eastAsia="宋体" w:cs="宋体"/>
                <w:b w:val="0"/>
                <w:i w:val="0"/>
                <w:caps w:val="0"/>
                <w:color w:val="333333"/>
                <w:spacing w:val="0"/>
                <w:kern w:val="0"/>
                <w:sz w:val="21"/>
                <w:szCs w:val="21"/>
                <w:bdr w:val="none" w:color="auto" w:sz="0" w:space="0"/>
                <w:lang w:val="en-US" w:eastAsia="zh-CN" w:bidi="ar"/>
              </w:rPr>
              <w:t> ]</w:t>
            </w:r>
          </w:p>
        </w:tc>
      </w:tr>
      <w:tr>
        <w:tblPrEx>
          <w:shd w:val="clear" w:color="auto" w:fill="FFFFFF"/>
          <w:tblLayout w:type="fixed"/>
          <w:tblCellMar>
            <w:top w:w="0" w:type="dxa"/>
            <w:left w:w="0" w:type="dxa"/>
            <w:bottom w:w="0" w:type="dxa"/>
            <w:right w:w="0" w:type="dxa"/>
          </w:tblCellMar>
        </w:tblPrEx>
        <w:trPr>
          <w:trHeight w:val="226" w:hRule="atLeast"/>
          <w:tblCellSpacing w:w="0" w:type="dxa"/>
        </w:trPr>
        <w:tc>
          <w:tcPr>
            <w:tcW w:w="8306" w:type="dxa"/>
            <w:tcBorders>
              <w:bottom w:val="single" w:color="DEDBDE" w:sz="6" w:space="0"/>
            </w:tcBorders>
            <w:shd w:val="clear" w:color="auto" w:fill="FFFFFF"/>
            <w:vAlign w:val="center"/>
          </w:tcPr>
          <w:p>
            <w:pPr>
              <w:jc w:val="center"/>
              <w:rPr>
                <w:rFonts w:hint="eastAsia" w:ascii="宋体" w:hAnsi="宋体" w:eastAsia="宋体" w:cs="宋体"/>
                <w:b w:val="0"/>
                <w:i w:val="0"/>
                <w:caps w:val="0"/>
                <w:color w:val="333333"/>
                <w:spacing w:val="0"/>
                <w:sz w:val="21"/>
                <w:szCs w:val="21"/>
              </w:rPr>
            </w:pPr>
          </w:p>
        </w:tc>
      </w:tr>
      <w:tr>
        <w:tblPrEx>
          <w:shd w:val="clear" w:color="auto" w:fill="FFFFFF"/>
          <w:tblLayout w:type="fixed"/>
          <w:tblCellMar>
            <w:top w:w="0" w:type="dxa"/>
            <w:left w:w="0" w:type="dxa"/>
            <w:bottom w:w="0" w:type="dxa"/>
            <w:right w:w="0" w:type="dxa"/>
          </w:tblCellMar>
        </w:tblPrEx>
        <w:trPr>
          <w:tblCellSpacing w:w="0" w:type="dxa"/>
        </w:trPr>
        <w:tc>
          <w:tcPr>
            <w:tcW w:w="8306" w:type="dxa"/>
            <w:shd w:val="clear" w:color="auto" w:fill="FFFFFF"/>
            <w:tcMar>
              <w:top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各镇人民政府、街道办事处，区直各有关单位：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《关于进一步推进商标品牌发展的实施意见》已经区政府常务会研究通过，现印发给你们，请认真贯彻实施。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righ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龙岩市新罗区人民政府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righ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2016年11月29日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center"/>
              <w:rPr>
                <w:rFonts w:hint="eastAsia" w:ascii="宋体" w:hAnsi="宋体" w:eastAsia="宋体" w:cs="宋体"/>
                <w:b w:val="0"/>
                <w:i w:val="0"/>
                <w:caps w:val="0"/>
                <w:color w:val="333333"/>
                <w:spacing w:val="0"/>
                <w:sz w:val="21"/>
                <w:szCs w:val="21"/>
              </w:rPr>
            </w:pPr>
            <w:r>
              <w:rPr>
                <w:rStyle w:val="4"/>
                <w:rFonts w:hint="eastAsia" w:ascii="宋体" w:hAnsi="宋体" w:eastAsia="宋体" w:cs="宋体"/>
                <w:i w:val="0"/>
                <w:caps w:val="0"/>
                <w:color w:val="333333"/>
                <w:spacing w:val="0"/>
                <w:kern w:val="0"/>
                <w:sz w:val="21"/>
                <w:szCs w:val="21"/>
                <w:bdr w:val="none" w:color="auto" w:sz="0" w:space="0"/>
                <w:lang w:val="en-US" w:eastAsia="zh-CN" w:bidi="ar"/>
              </w:rPr>
              <w:t>关于进一步推进商标品牌战略的实施意见</w:t>
            </w:r>
            <w:r>
              <w:rPr>
                <w:rFonts w:hint="eastAsia" w:ascii="宋体" w:hAnsi="宋体" w:eastAsia="宋体" w:cs="宋体"/>
                <w:b w:val="0"/>
                <w:i w:val="0"/>
                <w:caps w:val="0"/>
                <w:color w:val="333333"/>
                <w:spacing w:val="0"/>
                <w:kern w:val="0"/>
                <w:sz w:val="21"/>
                <w:szCs w:val="21"/>
                <w:bdr w:val="none" w:color="auto" w:sz="0" w:space="0"/>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为充分发挥商标品牌在促进产业结构优化升级、深化经济发展方式转变、提升全区综合竞争力中的积极作用，进一步推进我区商标品牌战略实施，推动新罗“十三五”经济发展，根据省政府办公厅《关于推进商标品牌工作若干措施的通知》（闽政办〔2013〕133号），市政府办《关于推进商标品牌工作若干措施的通知》(龙政办〔2016〕236号)要求，现结合我区实际，制定本实施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一、指导思想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按照党的十八大关于实施创新驱动发展战略的要求，全面贯彻落实区第十三次党代会精神及省、市关于实施商标战略的意见，围绕加快经济结构战略性调整和产业转型升级，实施商标品牌战略，充分发挥商标兴企、商标富农、商标强区的积极作用，着眼挖掘潜力、彰显特色、发挥优势，力争培育一批带动力强的驰名、著名、知名商标，发展一批致富面广的地理标志商标，保护一批发展潜力大的优质商标资源，在实现商标品牌的跨越发展中提供有力支撑，加快建设“机制活、产业优、百姓富、生态美”的新新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二、总体要求和目标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总体要求：以提高我区企业自主创新能力和区域经济核心竞争力为目标，积极构建“市场主导、企业主体、政府主推、工商主力”的商标品牌战略工作格局。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总体目标：实现企业的商标注册、运用、保护和管理能力全面增强；依托龙州工业园区、厦龙山海协作经济区、龙雁经济开发区、海西龙门物流园，加强商标品牌基地建设，打造优势产业商标品牌聚集区，培育一批品质好、信誉高、名气大、竞争力强的驰名、著名、知名商标，树立“品牌新罗”形象；着力挖掘我区人文、地理和资源潜力，推进地理标志商标注册和保护，发挥地理标志商标保护作用；优先支持“235”产业、“闽西八大鲜、八大珍”等特色品牌的商标发展，凸显“一镇一品”农业产业格局，建立健全商标监管长效机制，打击商标侵权假冒行为；推动商标品牌战略实施的法制环境进一步优化，政策保障机制进一步健全，工作推进措施进一步完善，凸显商标品牌战略的重要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具体工作目标：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一）注册商标总量持续增长。至2020年底，基本实现“一村一社一标”和“一企一业一标”的目标，注册商标由现有的4420件增至7030件，平均每年增加580件，其中涉农商标注册由现有的1210件增至1885件以上，平均每年增加150件；服务商标注册由现有的1110件增至1830件以上，平均每年增加160件；马德里商标国际注册由现有的6件增至10件以上，平均每年增加1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二）高质商标数量大幅增加。至2020年底，由工商总局认定的中国驰名商标由现有的5件增至7件以上。福建省著名商标由现有的61件增至76件以上，平均每年增加4件以上；龙岩市知名商标由现有的107件增至142件以上，平均每年增加7件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（三）地理标志商标稳步增长。加强引导“闽西八大鲜、八大珍”等特色品牌的商标发展，逐步实现“一镇一地标”目标，至2020年底，新增地理标志证明商标、集体商标3件，由现有的2件增至5件以上。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三、重点任务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（一）推进产业转型升级，助推品牌发展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1.重点支持“235”产业商标品牌发展。围绕“产业兴区”发展战略，培育产业品牌集群。加大机械装备产业发展，重点指导环保装备、应急装备、工程机械、运输机械、机械基础制造及现代服务业等产业品牌发展，引导生物医药、新材料、互联网3个新兴产业和5个传统产业创自主品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2.引导企业争创驰名、著名、知名商标。引导企业扩大品牌知名度，加大主导产业和特色产业的扶持力度，推动企业争创驰名、著名、知名商标，优先培育扶持信息技术、生物医药、新材料、新能源、循环经济和节能环保、高端装备制造等战略性新兴产业企业。重点推荐“海德馨”“喜鹊”“侨龙”“容和盛”等企业争创中国驰名商标；规范引导森宝、闽西好、晋龙、渝家仔、标致、沉缸酒等龙头企业发挥品牌效应，助推企业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（二）发挥商标富农作用，造福一方百姓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1.做足“农”字号商标品牌培育文章。结合新罗实际，引导涉农企业、农民专业合作社、家庭农场、种养大户等开展“农”字号商标注册和培育；拉长产业链条，推进观光农业、绿色农业、有机农业建设，加快农业与工业融合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2.推进发展农产品地方特色品牌。大力支持农产品的品牌化，引导企业依托商标走产业化、规模化、品牌化经营的发展道路。充分利用农业自然资源、人文资源，引进精加工、深加工企业，加大对茶叶、畜禽、果蔬、竹木、花生等农产品商标的培育力度，提高农产品附加值。按照扶优育强原则，大力实施龙头企业带动战略，推动全区农业产品品牌提档升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3.深入开展中国地理标志证明商标申报工作。建立地理标志资源储备库，支持相关协会和组织申报地理标志证明商标、集体商标。发挥中国地理标志的重要作用，提升中国地理标志产品品质和品牌价值，鼓励建设地理标志认证的农产品生产基地，做大做强农业特色产业。推广“企业（农民专业合作组织）＋地理商标＋农户”经营模式，重点推荐“龙岩斜背茶”“龙岩山麻鸭”“适中绿茶”“云潭米粉干”“适中薏米”“大池花生”“十八乡水蜜桃”“南卓芦柑”“万安风鸭”等申请注册国家地理标志商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（三）加强资源保护开发，维护地方公共权益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1. 加大历史古迹风景名胜商标保护。开展具有共有性质又容易被恶意抢注的商标资源调查，由区政府主导，授权有关部门、机构牵头负责，组织申请防御性商标注册，使可能被他人抢注的共有商标资源得到及时注册、增量储存、合理使用和有效保护，防止公共商标资源被外地企业恶意抢注或被个别企业、个人独占使用。各镇、街道是商标品牌发展的责任主体，要加强组织领导，积极支持和引导商标品牌创建工作。各级各部门要主动作为，密切协作，及时做好本地自然风景、名胜古迹、名山大川、历史名人、非物质文化遗产等名称的商标注册，侧重主导产业、支柱产业和新兴产业，储备一批有一定知名度的潜在优质共有商标资源。重点开展对“龙硿洞”“睡美人”“龙门塔”“天宫山”“天后宫”“石山园”“莲台山”“石竹山”等商标注册保护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2. 加大现代服务业商标培育。围绕旅游、餐饮、文化、商贸等现代服务业，培育一批服务品牌。围绕培育乡村生态旅游精品，做大做好七彩蓝田生态农业观光园、洋畲生态度假区、万安竹贯古村落、小池培斜生态旅游等旅游品牌，促进文化产业的快速发展，指导旅游景区、宾馆、餐饮、娱乐、商贸物流等注册服务商标，创新营销模式，发展电子商务，扩大社会影响，打造优质服务品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（四）加强商标国际注册，推动商标品牌国际化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鼓励引导企业实施“走出去”战略，大力支持外向型企业通过开展马德里商标国际注册、跨国兼并、品牌收购、品牌推广等方式实施商标国际战略。指导推进各类出口企业开展商标国际注册；鼓励出口企业在国际贸易中使用自主商标，提高自主品牌的出口比例；支持企业加强境外商标权保护，积极应对境外商标侵权，主动参与相关诉讼，维护企业境外商标的合法权益。重点针对全区300余户具有出口经营权企业，从商标品牌政策宣传，商标的咨询、设计、保护及发展，实行“一对一”“一条龙”跟进对接服务，指导出口型企业进行马德里商标国际注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（五）强化商标权益保护，防止商标所有人利益受损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加大宣传力度，密切部门协作、区域协作，指导支持完善“打假保名优”工作机制，积极引导、支持、帮助、配合企业严厉查处侵犯知识产权和制售假冒伪劣商品行为，以查处商标侵权、制售假冒伪劣商品、傍名牌等类型的案件为主，加强对大案要案的查处，防止商标所有权人利益受损。支持驰著名商标企业适度增加商标注册类别或图样，合理扩大保护范围。指导企业正确开展防御性商标注册，指导相关主体加强商标境内外注册，防止恶意抢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四、具体措施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(一)加强商标工作领导，完善组织保障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成立新罗区实施商标品牌战略工作领导小组，负责研究制定全区商标品牌战略实施规划和政策措施，协调解决重大问题，综合运用法律、经济、行政、教育、宣传等手段为实施商标品牌战略提供政策、资金、技术、人才等方面的保障。领导小组成员由区委宣传部，区工商局、发改局、经信局、财政局、民政局、农业局、商务局、科技局、林业局、文体广新局、统计局、旅游局、国税局、地税局、食药监局、质监局、金融办、方志办，国资公司、人行龙岩市中心支行等单位组成。领导小组办公室设在区工商局。各成员单位要建立联络员制度，并根据各自具体业务范围和职责开展商标品牌战略实施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1.区工商局：负责制定全区商标品牌发展规划并牵头组织商标品牌战略工作的实施。具体负责商标注册和龙岩市知名商标、福建省著名商标、中国驰名商标的培育指导和审核推荐工作；依法保护注册商标和查处侵权商标行为；加强与市工商局、各成员单位商标品牌工作的协调沟通，定期组织召开全区商标品牌工作联席会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2.区财政局：负责商标品牌创建经费的保障以及商标品牌战略奖励资金的兑现。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3.区农业局：负责具有一定地方特色和较大规模的农副产品及其加工企业的商标培育和推荐。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4.区民政局：负责具有一定地方特色的地理标志证明商标相关协会成立的指导和配合工作。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5.区经信局：负责工业相关企业的商标培育、推荐。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6.区商务局：负责商贸企业、外商投资企业、出口企业等的商标培育和推荐。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7.区方志办：负责将具有地方特色的地理标志产品编入区志，完善充实地理标志证明产品的储备库。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8.区国资公司：负责涉及新罗历史古迹、风景名胜商标的注册、使用与管理工作。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9.区金融办、人行龙岩市中心支行：负责商标专用权质押贷款协调指导工作。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10.各镇、街道：负责领导本行政区域的商标品牌战略实施工作，并安排商标品牌发展专项经费；设立商标品牌指导站，指定专职人员抓商标品牌工作；积极挖掘辖区内的地理标志证明产品资源，及时收集、撰写材料入编区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（二）加强商标工作考核，强化考评体系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把商标发展战略纳入国民经济和社会发展中长期规划，将商标品牌建设列入年度区对镇（街）经济社会工作目标责任制管理考评的重要内容（根据年度工作需要，对考评分值进行适时调整），严格考核制度，强化责任落实，充分发挥镇（街）、部门创建商标品牌的积极性和主动性，推动我区商标品牌的快速发展。对推动品牌战略的有功单位、个人，予以表彰奖励；对工作组织落实不力、成效不明显的，予以通报批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（三）建立健全激励机制，加强资金保障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１.开展商标注册奖励。着力提升畜禽、果蔬、竹木、花生茶业等特色农业及以商贸物流为重点的现代服务业品牌发展，对每件涉农、服务注册商标奖励1000元。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2.兑现优质商标奖励资金。对首次获得中国驰名商标企业，给予一次性奖励50万元；对首次获得省著名商标、注册地理标志商标的企业，给予一次性奖励10万元；对首次获得市知名商标的企业，给予一次性奖励3万元。奖励资金由市、区财政各承担50%。根据省政府办公厅《关于推进商标品牌工作若干措施的通知》（闽政办〔2013〕133号）文件规定，省财政设立马德里商标国际注册补助金，以指定国家的数量为补助标准，指定5个以下国家或地区的每件补助0.5万元，指定10个以下国家或地区的每件补助1万元，指定10个以上国家或地区的每件补助1.5万元，对单个企业补助单件基础商标（1个国内注册号）补助金额不超过2万元或1个企业1年补助金不超过10万元；根据市政府办《关于推进商标品牌工作若干措施的通知》(龙政办〔2016〕236号)文件规定，市财政一并设立马德里商标国际注册补助金，予以配套补助。根据省工商局《关于印发推进地理标志商标工作若干措施的通知》(闽工商标〔2016〕66号)文件规定，“十三五”期间，对新被核准注册地理标志商标的注册人给予一次性奖励10万元。区工商局要积极指导本区企业申请涉外商标及地理标志商标注册，争取省财政的资金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3.设立商标品牌发展专项资金。区财政将商标品牌发展专项资金统一纳入工商工作经费中统筹安排：一是培育资金，主要用于宣传、培训、参展和指导企业商标国内外注册、创品牌。二是保护资金，主要用于补助打假经费。每年划拨专项打假经费，用于开展打击侵犯知识产权和制售假冒伪劣商品整治工作，协助品牌企业开展异地打假维权及为防止具有共有性质的潜在优质商标被他人抢注而进行的防御性注册等。三是奖励资金，主要表彰在推进商标品牌发展工作中取得显著成效的先进集体和个人，调动各方的工作积极性，充分发挥品牌引导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(四)发挥商标品牌价值，助推企业发展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发挥驰著知名商标企业在整合区域产业资源、孵化优势品牌等方面的作用，创建区域性的品牌，引导中小企业与驰著知名商标企业通过定牌加工、商标许可使用等形式，拓展延伸产业链形成规模效应，形成“区域品牌+企业品牌”互促互动格局，打造专业品牌基地，推动区域经济发展。根据区政府《关于进一步促进企业投资与创新发展的若干意见（试行）的通知》(龙新政综〔2011〕434号)、《关于进一步促进企业投资与创新发展的若干意见（试行）的实施细则的通知》（龙新政办〔2011〕241号），对获中国驰名商标、省著名商标、地理标志证明商标和集体商标企业可优先评定为新罗区重点企业；根据人行龙岩市中心支行、市工商局《关于印发龙岩市驰名（著名）商标等相关信息纳入人民银行征信系统实施意见的通知》（岩银发〔2014〕82号），将龙岩市驰名(著名)商标等相关信息纳入人民银行征信系统，在商标权质押融资、信用评级、授信额度、贷款利率等方面给予重点扶持。驰名商标、著名商标、地理标志证明商标和地理标志集体商标企业（除烟草企业外）发生的广告费用和业务宣传费用支出按规定比例税前扣除，超过部分准予在以后纳税年度结转扣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（五）加强商标服务建设，提升指导效能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优化商标品牌战略发展服务平台，在西陂街道设立商标品牌工作指导站，加强对品牌指导站的经费、人员、场所等保障，充分发挥政府、职能部门、中介代理机构、企业的各自作用，构筑以宣传推介、咨询评估、人才培训等为主要内容的服务体系。引导广大企业培育、使用和发展自主商标，全面提升企业注牌、创牌、护牌的意识；进一步提高企业自我管理保护商标水平，帮助企业建立商标管理制度、品牌运营策略、价值延伸能力，进一步提高企业自我维权、防范风险和应对商标纠纷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(六)加强商标宣传策划，营造品牌氛围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企业要加大品牌宣传的资金投入，根据自身发展、扩充市场和品牌创建的需要，适时在相关媒体媒介上投放广告，不断提升品牌知名度。宣传部门、新闻媒体单位，要加大公共品牌宣传力度，在主要媒体开辟“新罗品牌”专栏，大力宣传商标品牌知识、作用和意义，宣传品牌兴农、品牌兴企、品牌兴区的新理念。区直各有关部门应根据各自工作职能，通过报刊、电视、网络等各种媒介以及培训班、座谈会、知识竞赛等形式，积极宣传商标品牌各项扶持政策和商标品牌意义，形成全社会“重商标、创品牌”的浓厚氛围。司法部门要把商标法律法规政策知识的宣传列入全区普法工作的内容，提高全社会商标品牌意识，增强企业创建商标品牌的积极性，营造争创商标品牌浓厚氛围。</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CC30EA"/>
    <w:rsid w:val="6D535020"/>
    <w:rsid w:val="7CCC30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2018-06-06T09:30:00Z</dcterms:created>
  <dc:creator>lenovo</dc:creator>
  <cp:lastModifiedBy>lenovo</cp:lastModifiedBy>
  <dcterms:modified xsi:type="dcterms:W3CDTF">2018-06-06T09:30:31Z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