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为了进一步扩大开放，改善投资环境，加大招商引资力度，促进大方经济、持续、快速、健康发展，特制定以下招商引资优惠政策。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一、本招商引资政策适用范围：农业综合开发、水利建设、能源开发、房地产开发、交通建设、城镇基础设施建设、旅游资源开发、文化、教育、卫生、环保、体育设施建设以及其他符合国家产业开发政策的投资项目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二、县建立重点项目工作领导小组（即招商引资工作领导小组），县长任组长，分管县长任副组长，有关部门主要负责人为成员。招商引资局对引资项目实行“一站式”服务，三日内</w:t>
      </w:r>
      <w:proofErr w:type="gramStart"/>
      <w:r>
        <w:rPr>
          <w:rFonts w:ascii="微软雅黑" w:eastAsia="微软雅黑" w:hAnsi="微软雅黑" w:hint="eastAsia"/>
          <w:color w:val="000000"/>
        </w:rPr>
        <w:t>办结县</w:t>
      </w:r>
      <w:proofErr w:type="gramEnd"/>
      <w:r>
        <w:rPr>
          <w:rFonts w:ascii="微软雅黑" w:eastAsia="微软雅黑" w:hAnsi="微软雅黑" w:hint="eastAsia"/>
          <w:color w:val="000000"/>
        </w:rPr>
        <w:t>内应办的一切手续，需报批的限期上报批准。凡500万元以上生产型项目，项目资金到位后，由招商引资局派专人负责协调帮助办理项目开办手续；对投资规模1000万元以上的重点项目，实行县领导联系制度，并由县委、政府授予“重点企业”匾牌，予以挂牌保护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三、外来客商投资兴办企业，除法律、合同规定需履行的义务外，实行“一卡式”收取法律、法规规定的有关费用，并发放《收费监督卡》。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四、投资规模500万元以上项目，在建设期间由县委、政府明确一名副县级以上领导联系，协调各种关系，直到项目落实，并建成投产。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五、固定资产投资额1000万元以上，年创税100万元以上的生产型项目，从建成投产之日起三年内，由县财政按所得税地方分享部分的50%的标准奖励该企业。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六、投资新建交通、旅游、城镇公共设施及环保、生态等项目，经营期10年以上的，从获利年度起三年内，由县财政年底按所得税地方分享部分的50%的标准奖励该企业。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七、投资兴办高新技术、新产品、新材料、新设备、新工艺和利用“三废”的项目；利用土地及荒山、荒坡兴办种养殖业，经营期在15年以上，且投资额在500万元以上的，依照第六条规定执行。“四荒”使用权由国土局、林业局依法办理，使用权最长期限为50年，产权可以继承、转让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八、收购亏损、关停、倒闭的国有企业全部产权的，可降低2个土地级别价格收取土地出让金。收购国有企业产权转办企业，并安置现有下岗职工30%以上的，三年内所得税全额上交后，由县财政返还地方分享部分的50%作为奖励。</w:t>
      </w:r>
    </w:p>
    <w:p w:rsidR="00D619F1" w:rsidRDefault="00D619F1" w:rsidP="00D619F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九、此政策由县重点项目办和县招商引资局负责解释。</w:t>
      </w:r>
    </w:p>
    <w:p w:rsidR="0055125B" w:rsidRPr="00D619F1" w:rsidRDefault="0055125B">
      <w:pPr>
        <w:rPr>
          <w:rFonts w:hint="eastAsia"/>
        </w:rPr>
      </w:pPr>
      <w:bookmarkStart w:id="0" w:name="_GoBack"/>
      <w:bookmarkEnd w:id="0"/>
    </w:p>
    <w:sectPr w:rsidR="0055125B" w:rsidRPr="00D6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2F"/>
    <w:rsid w:val="0055125B"/>
    <w:rsid w:val="00D619F1"/>
    <w:rsid w:val="00E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409E3-3AA9-4453-BFAC-2874E6A9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Dean</dc:creator>
  <cp:keywords/>
  <dc:description/>
  <cp:lastModifiedBy>Hou Dean</cp:lastModifiedBy>
  <cp:revision>3</cp:revision>
  <dcterms:created xsi:type="dcterms:W3CDTF">2018-05-14T02:46:00Z</dcterms:created>
  <dcterms:modified xsi:type="dcterms:W3CDTF">2018-05-14T02:46:00Z</dcterms:modified>
</cp:coreProperties>
</file>