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460A2C" w:rsidRPr="00460A2C" w:rsidTr="00460A2C">
        <w:trPr>
          <w:trHeight w:val="7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460A2C" w:rsidRPr="00460A2C" w:rsidRDefault="00460A2C" w:rsidP="00460A2C">
            <w:pPr>
              <w:widowControl/>
              <w:spacing w:line="525" w:lineRule="atLeast"/>
              <w:jc w:val="center"/>
              <w:rPr>
                <w:rFonts w:ascii="Simsun" w:eastAsia="宋体" w:hAnsi="Simsun" w:cs="宋体"/>
                <w:b/>
                <w:bCs/>
                <w:color w:val="00599B"/>
                <w:kern w:val="0"/>
                <w:sz w:val="36"/>
                <w:szCs w:val="36"/>
              </w:rPr>
            </w:pPr>
            <w:bookmarkStart w:id="0" w:name="_GoBack"/>
            <w:r w:rsidRPr="00460A2C">
              <w:rPr>
                <w:rFonts w:ascii="Simsun" w:eastAsia="宋体" w:hAnsi="Simsun" w:cs="宋体"/>
                <w:b/>
                <w:bCs/>
                <w:color w:val="00599B"/>
                <w:kern w:val="0"/>
                <w:sz w:val="36"/>
                <w:szCs w:val="36"/>
              </w:rPr>
              <w:t>耿马县招商引资相关政策</w:t>
            </w:r>
            <w:bookmarkEnd w:id="0"/>
          </w:p>
        </w:tc>
      </w:tr>
      <w:tr w:rsidR="00460A2C" w:rsidRPr="00460A2C" w:rsidTr="00460A2C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60A2C" w:rsidRPr="00460A2C" w:rsidRDefault="00460A2C" w:rsidP="00460A2C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</w:pPr>
            <w:r w:rsidRPr="00460A2C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新闻来源：临沧市招商局</w:t>
            </w:r>
            <w:r>
              <w:rPr>
                <w:rFonts w:ascii="Simsun" w:eastAsia="宋体" w:hAnsi="Simsun" w:cs="宋体" w:hint="eastAsia"/>
                <w:color w:val="999999"/>
                <w:kern w:val="0"/>
                <w:sz w:val="15"/>
                <w:szCs w:val="15"/>
              </w:rPr>
              <w:t xml:space="preserve">     </w:t>
            </w:r>
            <w:r w:rsidRPr="00460A2C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 </w:t>
            </w:r>
            <w:r w:rsidRPr="00460A2C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发布时间：</w:t>
            </w:r>
            <w:r w:rsidRPr="00460A2C"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  <w:t>2013-06-13</w:t>
            </w:r>
          </w:p>
        </w:tc>
      </w:tr>
      <w:tr w:rsidR="00460A2C" w:rsidRPr="00460A2C" w:rsidTr="00460A2C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E6E6E6"/>
            <w:vAlign w:val="center"/>
            <w:hideMark/>
          </w:tcPr>
          <w:p w:rsidR="00460A2C" w:rsidRPr="00460A2C" w:rsidRDefault="00460A2C" w:rsidP="00460A2C">
            <w:pPr>
              <w:widowControl/>
              <w:spacing w:line="300" w:lineRule="atLeast"/>
              <w:jc w:val="center"/>
              <w:rPr>
                <w:rFonts w:ascii="Simsun" w:eastAsia="宋体" w:hAnsi="Simsun" w:cs="宋体"/>
                <w:color w:val="999999"/>
                <w:kern w:val="0"/>
                <w:sz w:val="15"/>
                <w:szCs w:val="15"/>
              </w:rPr>
            </w:pPr>
          </w:p>
        </w:tc>
      </w:tr>
      <w:tr w:rsidR="00460A2C" w:rsidRPr="00460A2C" w:rsidTr="00460A2C">
        <w:trPr>
          <w:trHeight w:val="5880"/>
          <w:tblCellSpacing w:w="0" w:type="dxa"/>
          <w:jc w:val="center"/>
        </w:trPr>
        <w:tc>
          <w:tcPr>
            <w:tcW w:w="0" w:type="auto"/>
            <w:hideMark/>
          </w:tcPr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 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2"/>
              <w:jc w:val="left"/>
              <w:textAlignment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一、招商引资优惠政策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textAlignment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（一）凡是到耿马孟定投资兴业的企业，除享受国家、省、市的优惠政策外，我们还将实行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“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一事一议、</w:t>
            </w:r>
            <w:proofErr w:type="gramStart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</w:t>
            </w:r>
            <w:proofErr w:type="gramEnd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产</w:t>
            </w:r>
            <w:proofErr w:type="gramStart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</w:t>
            </w:r>
            <w:proofErr w:type="gramEnd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策、</w:t>
            </w:r>
            <w:proofErr w:type="gramStart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</w:t>
            </w:r>
            <w:proofErr w:type="gramEnd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企</w:t>
            </w:r>
            <w:proofErr w:type="gramStart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</w:t>
            </w:r>
            <w:proofErr w:type="gramEnd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策、</w:t>
            </w:r>
            <w:proofErr w:type="gramStart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特</w:t>
            </w:r>
            <w:proofErr w:type="gramEnd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事特办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”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的政策。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（二）工业项目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依据《中共耿马傣族佤族自治县委员会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耿马傣族佤族自治县人民政府关于推动工业跨越发展的意见》（</w:t>
            </w:r>
            <w:proofErr w:type="gramStart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耿发〔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2012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〕</w:t>
            </w:r>
            <w:proofErr w:type="gramEnd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号）精神，工业项目在享受以上优惠政策外，还给予更优惠的扶持奖励政策。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）对符合国家产业政策，当年实际完成投资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亿元以上、排名在前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位的工业项目，年内由县人民政府一次性分别给予项目业主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万元奖励。新建工业项目投产达到规模以上的工业企业，从投产之日起，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年内（含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年）由县级财政每年给予上缴收入地方享有部分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100%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的列支扶持，对企业所得税以外企业所缴纳的其它税收，政府以地方财政享有部分的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10%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对企业进行奖励，第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至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年由县级财政每年给予上缴收入地方享有部分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50%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的列支扶持。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）对当年新获得国家、省、市企业技术中心或工程技术研究中心认定的工业企业，县人民政府一次性分别给予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万元建设资金补助；对新获得国家高新技术企业认定的工业企业，县人民政府一次性给予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万元奖励；对工业企业获得省委、省政府授予荣誉称号的个人，县人民政府一次性给予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万元奖励。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企业购置并实际使用符合《环境保护专用设备企业所得税优惠目录》、《节能节水专用设备企业所得税优惠目录》、《安全生产专用设备企业所得税优惠目录》规定的环境保护、节能节水、安全生产等专用设备的，该专用设备的投资额的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10%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可以从企业当年的应纳税额中抵免；当年不足抵免的，可以在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以后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个纳税年度结转抵免。企业从事规定符合条件的环境保护、节能节水项目包括公共污水处理、公共垃圾处理、沼气综合开发利用、节能减排技术改造等的所得，</w:t>
            </w:r>
            <w:proofErr w:type="gramStart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自项目</w:t>
            </w:r>
            <w:proofErr w:type="gramEnd"/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取得第一笔生产经营收入所属纳税年度起，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年内免征企业所得税，第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至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年减半征收企业所得税。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）对年销售收入首次突破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亿元以上，同时上交入库税金分别突破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亿元、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5000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1000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万元以上的工业企业，县人民政府分别给予企业法定代表人一次性奖励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万元、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万元；对销售收入和上交入库税金同时排名在前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位的工业企业，县人民政府给予企业法定代表人一次性奖励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万元；对进入市级十强的企业，县人民政府给予企业法定代表人一次性奖励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万元。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2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二、招商引资服务措施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（一）对重点招商引资项目实行挂牌保护制度。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（二）采取处级领导联系挂钩招商项目，确保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“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一个项目、一班人马、一套方案、一抓到底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”</w:t>
            </w: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的工作机制。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（三）对所有招商引资项目实行一个窗口受理、一条龙服务、一站式办结和并联审批制度。确保快速办理各项转报和核准备案手续。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（四）协调部门保障外来投资者的合法权益，特别是子女入学、社会保障等切身问题。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360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耿马县招商合作局</w:t>
            </w:r>
          </w:p>
          <w:p w:rsidR="00460A2C" w:rsidRPr="00460A2C" w:rsidRDefault="00460A2C" w:rsidP="00460A2C">
            <w:pPr>
              <w:widowControl/>
              <w:spacing w:before="100" w:beforeAutospacing="1" w:after="100" w:afterAutospacing="1" w:line="450" w:lineRule="atLeast"/>
              <w:ind w:left="420" w:firstLine="3150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460A2C">
              <w:rPr>
                <w:rFonts w:ascii="Simsun" w:eastAsia="宋体" w:hAnsi="Simsun" w:cs="宋体"/>
                <w:color w:val="000000"/>
                <w:kern w:val="0"/>
                <w:szCs w:val="21"/>
              </w:rPr>
              <w:t>二Ｏ一三年五月二十一日</w:t>
            </w:r>
          </w:p>
        </w:tc>
      </w:tr>
    </w:tbl>
    <w:p w:rsidR="007F61D2" w:rsidRPr="00460A2C" w:rsidRDefault="007F61D2"/>
    <w:sectPr w:rsidR="007F61D2" w:rsidRPr="0046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BF"/>
    <w:rsid w:val="00460A2C"/>
    <w:rsid w:val="007F61D2"/>
    <w:rsid w:val="00D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E29D4-3E8C-43C7-AFA9-FC76F5D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14hei">
    <w:name w:val="new_14_hei"/>
    <w:basedOn w:val="a"/>
    <w:rsid w:val="00460A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60A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2018-05-24T10:28:00Z</dcterms:created>
  <dcterms:modified xsi:type="dcterms:W3CDTF">2018-05-24T10:31:00Z</dcterms:modified>
</cp:coreProperties>
</file>