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424D5E" w:rsidRPr="00424D5E" w:rsidTr="00424D5E">
        <w:trPr>
          <w:tblCellSpacing w:w="0" w:type="dxa"/>
          <w:jc w:val="center"/>
        </w:trPr>
        <w:tc>
          <w:tcPr>
            <w:tcW w:w="3750" w:type="pct"/>
            <w:shd w:val="clear" w:color="auto" w:fill="FFFFFF"/>
            <w:hideMark/>
          </w:tcPr>
          <w:tbl>
            <w:tblPr>
              <w:tblW w:w="4600" w:type="pct"/>
              <w:jc w:val="center"/>
              <w:tblCellSpacing w:w="0" w:type="dxa"/>
              <w:tblCellMar>
                <w:left w:w="0" w:type="dxa"/>
                <w:right w:w="0" w:type="dxa"/>
              </w:tblCellMar>
              <w:tblLook w:val="04A0" w:firstRow="1" w:lastRow="0" w:firstColumn="1" w:lastColumn="0" w:noHBand="0" w:noVBand="1"/>
            </w:tblPr>
            <w:tblGrid>
              <w:gridCol w:w="5767"/>
              <w:gridCol w:w="1722"/>
            </w:tblGrid>
            <w:tr w:rsidR="00424D5E" w:rsidRPr="00424D5E">
              <w:trPr>
                <w:tblCellSpacing w:w="0" w:type="dxa"/>
                <w:jc w:val="center"/>
              </w:trPr>
              <w:tc>
                <w:tcPr>
                  <w:tcW w:w="0" w:type="auto"/>
                  <w:gridSpan w:val="2"/>
                  <w:tcMar>
                    <w:top w:w="75" w:type="dxa"/>
                    <w:left w:w="0" w:type="dxa"/>
                    <w:bottom w:w="0" w:type="dxa"/>
                    <w:right w:w="0" w:type="dxa"/>
                  </w:tcMar>
                  <w:vAlign w:val="center"/>
                  <w:hideMark/>
                </w:tcPr>
                <w:p w:rsidR="00424D5E" w:rsidRPr="00424D5E" w:rsidRDefault="00424D5E" w:rsidP="00424D5E">
                  <w:pPr>
                    <w:widowControl/>
                    <w:spacing w:line="648" w:lineRule="atLeast"/>
                    <w:jc w:val="center"/>
                    <w:rPr>
                      <w:rFonts w:ascii="微软雅黑" w:eastAsia="微软雅黑" w:hAnsi="微软雅黑" w:cs="宋体"/>
                      <w:b/>
                      <w:bCs/>
                      <w:color w:val="000000"/>
                      <w:kern w:val="0"/>
                      <w:sz w:val="36"/>
                      <w:szCs w:val="36"/>
                    </w:rPr>
                  </w:pPr>
                  <w:bookmarkStart w:id="0" w:name="_GoBack"/>
                  <w:r w:rsidRPr="00424D5E">
                    <w:rPr>
                      <w:rFonts w:ascii="微软雅黑" w:eastAsia="微软雅黑" w:hAnsi="微软雅黑" w:cs="宋体" w:hint="eastAsia"/>
                      <w:b/>
                      <w:bCs/>
                      <w:color w:val="000000"/>
                      <w:kern w:val="0"/>
                      <w:sz w:val="36"/>
                      <w:szCs w:val="36"/>
                    </w:rPr>
                    <w:t>淄博市人民政府关于扶持“双500强”企业加快发展的意见（节选）</w:t>
                  </w:r>
                  <w:bookmarkEnd w:id="0"/>
                </w:p>
              </w:tc>
            </w:tr>
            <w:tr w:rsidR="00424D5E" w:rsidRPr="00424D5E">
              <w:trPr>
                <w:tblCellSpacing w:w="0" w:type="dxa"/>
                <w:jc w:val="center"/>
              </w:trPr>
              <w:tc>
                <w:tcPr>
                  <w:tcW w:w="0" w:type="auto"/>
                  <w:gridSpan w:val="2"/>
                  <w:vAlign w:val="center"/>
                  <w:hideMark/>
                </w:tcPr>
                <w:p w:rsidR="00424D5E" w:rsidRPr="00424D5E" w:rsidRDefault="00424D5E" w:rsidP="00424D5E">
                  <w:pPr>
                    <w:widowControl/>
                    <w:spacing w:line="648" w:lineRule="atLeast"/>
                    <w:jc w:val="center"/>
                    <w:rPr>
                      <w:rFonts w:ascii="微软雅黑" w:eastAsia="微软雅黑" w:hAnsi="微软雅黑" w:cs="宋体" w:hint="eastAsia"/>
                      <w:b/>
                      <w:bCs/>
                      <w:color w:val="000000"/>
                      <w:kern w:val="0"/>
                      <w:sz w:val="36"/>
                      <w:szCs w:val="36"/>
                    </w:rPr>
                  </w:pPr>
                </w:p>
              </w:tc>
            </w:tr>
            <w:tr w:rsidR="00424D5E" w:rsidRPr="00424D5E">
              <w:trPr>
                <w:trHeight w:val="300"/>
                <w:tblCellSpacing w:w="0" w:type="dxa"/>
                <w:jc w:val="center"/>
              </w:trPr>
              <w:tc>
                <w:tcPr>
                  <w:tcW w:w="3850" w:type="pct"/>
                  <w:tcMar>
                    <w:top w:w="0" w:type="dxa"/>
                    <w:left w:w="2700" w:type="dxa"/>
                    <w:bottom w:w="0" w:type="dxa"/>
                    <w:right w:w="0" w:type="dxa"/>
                  </w:tcMar>
                  <w:vAlign w:val="center"/>
                  <w:hideMark/>
                </w:tcPr>
                <w:p w:rsidR="00424D5E" w:rsidRPr="00424D5E" w:rsidRDefault="00424D5E" w:rsidP="00424D5E">
                  <w:pPr>
                    <w:widowControl/>
                    <w:spacing w:line="270" w:lineRule="atLeast"/>
                    <w:jc w:val="center"/>
                    <w:rPr>
                      <w:rFonts w:ascii="宋体" w:eastAsia="宋体" w:hAnsi="宋体" w:cs="宋体"/>
                      <w:color w:val="999999"/>
                      <w:kern w:val="0"/>
                      <w:sz w:val="18"/>
                      <w:szCs w:val="18"/>
                    </w:rPr>
                  </w:pPr>
                  <w:r w:rsidRPr="00424D5E">
                    <w:rPr>
                      <w:rFonts w:ascii="宋体" w:eastAsia="宋体" w:hAnsi="宋体" w:cs="宋体"/>
                      <w:color w:val="999999"/>
                      <w:kern w:val="0"/>
                      <w:sz w:val="18"/>
                      <w:szCs w:val="18"/>
                    </w:rPr>
                    <w:t>作者：佚名   来源：NET/DXZM   点击：319   时间：2015/8/11   </w:t>
                  </w:r>
                </w:p>
              </w:tc>
              <w:tc>
                <w:tcPr>
                  <w:tcW w:w="1150" w:type="pct"/>
                  <w:vAlign w:val="center"/>
                  <w:hideMark/>
                </w:tcPr>
                <w:p w:rsidR="00424D5E" w:rsidRPr="00424D5E" w:rsidRDefault="00424D5E" w:rsidP="00424D5E">
                  <w:pPr>
                    <w:widowControl/>
                    <w:spacing w:line="270" w:lineRule="atLeast"/>
                    <w:jc w:val="center"/>
                    <w:rPr>
                      <w:rFonts w:ascii="宋体" w:eastAsia="宋体" w:hAnsi="宋体" w:cs="宋体"/>
                      <w:color w:val="999999"/>
                      <w:kern w:val="0"/>
                      <w:sz w:val="18"/>
                      <w:szCs w:val="18"/>
                    </w:rPr>
                  </w:pPr>
                </w:p>
              </w:tc>
            </w:tr>
            <w:tr w:rsidR="00424D5E" w:rsidRPr="00424D5E">
              <w:trPr>
                <w:trHeight w:val="150"/>
                <w:tblCellSpacing w:w="0" w:type="dxa"/>
                <w:jc w:val="center"/>
              </w:trPr>
              <w:tc>
                <w:tcPr>
                  <w:tcW w:w="0" w:type="auto"/>
                  <w:gridSpan w:val="2"/>
                  <w:vAlign w:val="center"/>
                  <w:hideMark/>
                </w:tcPr>
                <w:p w:rsidR="00424D5E" w:rsidRPr="00424D5E" w:rsidRDefault="00424D5E" w:rsidP="00424D5E">
                  <w:pPr>
                    <w:widowControl/>
                    <w:spacing w:line="270" w:lineRule="atLeast"/>
                    <w:jc w:val="right"/>
                    <w:rPr>
                      <w:rFonts w:ascii="宋体" w:eastAsia="宋体" w:hAnsi="宋体" w:cs="宋体"/>
                      <w:kern w:val="0"/>
                      <w:sz w:val="18"/>
                      <w:szCs w:val="18"/>
                    </w:rPr>
                  </w:pPr>
                  <w:r w:rsidRPr="00424D5E">
                    <w:rPr>
                      <w:rFonts w:ascii="宋体" w:eastAsia="宋体" w:hAnsi="宋体" w:cs="宋体"/>
                      <w:kern w:val="0"/>
                      <w:sz w:val="18"/>
                      <w:szCs w:val="18"/>
                    </w:rPr>
                    <w:t> </w:t>
                  </w:r>
                </w:p>
              </w:tc>
            </w:tr>
          </w:tbl>
          <w:p w:rsidR="00424D5E" w:rsidRPr="00424D5E" w:rsidRDefault="00424D5E" w:rsidP="00424D5E">
            <w:pPr>
              <w:widowControl/>
              <w:spacing w:line="270" w:lineRule="atLeast"/>
              <w:jc w:val="left"/>
              <w:rPr>
                <w:rFonts w:ascii="宋体" w:eastAsia="宋体" w:hAnsi="宋体" w:cs="宋体"/>
                <w:vanish/>
                <w:kern w:val="0"/>
                <w:sz w:val="18"/>
                <w:szCs w:val="18"/>
              </w:rPr>
            </w:pPr>
          </w:p>
          <w:tbl>
            <w:tblPr>
              <w:tblW w:w="4600" w:type="pct"/>
              <w:jc w:val="center"/>
              <w:tblCellSpacing w:w="0" w:type="dxa"/>
              <w:tblCellMar>
                <w:left w:w="0" w:type="dxa"/>
                <w:right w:w="0" w:type="dxa"/>
              </w:tblCellMar>
              <w:tblLook w:val="04A0" w:firstRow="1" w:lastRow="0" w:firstColumn="1" w:lastColumn="0" w:noHBand="0" w:noVBand="1"/>
            </w:tblPr>
            <w:tblGrid>
              <w:gridCol w:w="7489"/>
            </w:tblGrid>
            <w:tr w:rsidR="00424D5E" w:rsidRPr="00424D5E">
              <w:trPr>
                <w:trHeight w:val="970"/>
                <w:tblCellSpacing w:w="0" w:type="dxa"/>
                <w:jc w:val="center"/>
              </w:trPr>
              <w:tc>
                <w:tcPr>
                  <w:tcW w:w="12170" w:type="dxa"/>
                  <w:hideMark/>
                </w:tcPr>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一、纳税500强企业扶持政策措施</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1.支持重大项目建设。对纳税500强企业新上项目，优先推荐列入省市重大项目。凡列入省市重大项目的，享受《中共淄博市委  淄博市人民政府关于进一步加快重大项目建设的九条意见》（</w:t>
                  </w:r>
                  <w:proofErr w:type="gramStart"/>
                  <w:r w:rsidRPr="00424D5E">
                    <w:rPr>
                      <w:rFonts w:ascii="宋体" w:eastAsia="宋体" w:hAnsi="宋体" w:cs="宋体"/>
                      <w:color w:val="333333"/>
                      <w:kern w:val="0"/>
                      <w:sz w:val="24"/>
                      <w:szCs w:val="24"/>
                    </w:rPr>
                    <w:t>淄</w:t>
                  </w:r>
                  <w:proofErr w:type="gramEnd"/>
                  <w:r w:rsidRPr="00424D5E">
                    <w:rPr>
                      <w:rFonts w:ascii="宋体" w:eastAsia="宋体" w:hAnsi="宋体" w:cs="宋体"/>
                      <w:color w:val="333333"/>
                      <w:kern w:val="0"/>
                      <w:sz w:val="24"/>
                      <w:szCs w:val="24"/>
                    </w:rPr>
                    <w:t>发〔2013〕6号）中各项优惠政策。</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2.加大金融扶持力度。各金融机构要将纳税500强企业列入重点扶持名录，实行信贷倾斜政策。每年组织2次</w:t>
                  </w:r>
                  <w:proofErr w:type="gramStart"/>
                  <w:r w:rsidRPr="00424D5E">
                    <w:rPr>
                      <w:rFonts w:ascii="宋体" w:eastAsia="宋体" w:hAnsi="宋体" w:cs="宋体"/>
                      <w:color w:val="333333"/>
                      <w:kern w:val="0"/>
                      <w:sz w:val="24"/>
                      <w:szCs w:val="24"/>
                    </w:rPr>
                    <w:t>政银企项目</w:t>
                  </w:r>
                  <w:proofErr w:type="gramEnd"/>
                  <w:r w:rsidRPr="00424D5E">
                    <w:rPr>
                      <w:rFonts w:ascii="宋体" w:eastAsia="宋体" w:hAnsi="宋体" w:cs="宋体"/>
                      <w:color w:val="333333"/>
                      <w:kern w:val="0"/>
                      <w:sz w:val="24"/>
                      <w:szCs w:val="24"/>
                    </w:rPr>
                    <w:t>对接活动，鼓励和引导金融机构加大对纳税500强企业的支持力度，并将支持情况与市对各金融机构的考核奖励挂钩。</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3.优化服务环境。提升服务效能，简化审批程序，对纳税500强企业项目审批实行“绿色通道”，限时办结。对市级审批权限内的事项，市各职能部门在法定办结时限的基础上，再减少三分之一的办理时间。需国家、省相关部门许可的事项，由市级主管部门负责帮助企业做好对上协调和争取工作。切实优化对纳税500强企业的执法环境，防止同一部门多级重复检查和同</w:t>
                  </w:r>
                  <w:proofErr w:type="gramStart"/>
                  <w:r w:rsidRPr="00424D5E">
                    <w:rPr>
                      <w:rFonts w:ascii="宋体" w:eastAsia="宋体" w:hAnsi="宋体" w:cs="宋体"/>
                      <w:color w:val="333333"/>
                      <w:kern w:val="0"/>
                      <w:sz w:val="24"/>
                      <w:szCs w:val="24"/>
                    </w:rPr>
                    <w:t>一</w:t>
                  </w:r>
                  <w:proofErr w:type="gramEnd"/>
                  <w:r w:rsidRPr="00424D5E">
                    <w:rPr>
                      <w:rFonts w:ascii="宋体" w:eastAsia="宋体" w:hAnsi="宋体" w:cs="宋体"/>
                      <w:color w:val="333333"/>
                      <w:kern w:val="0"/>
                      <w:sz w:val="24"/>
                      <w:szCs w:val="24"/>
                    </w:rPr>
                    <w:t>年度内多部门重复检查同一事项。对侵害企业合法权益的行为，市有关部门要及时受理，快速侦办，切实维护企业合法权益和正常生产经营秩序。</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4.扩大企业社会影响。每年对纳税500强企业法人代表进行表彰奖励，依据纳税情况，分别颁发金、银、铜牌。各新闻媒体要加大对纳税500强企业的宣传力度，营造纳税光荣的浓厚氛围。市政府每年组织部分纳税500强企业高级管理人员参加境内外高层次培训。</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5.实行领导挂包帮扶。建立纳税500强企业市、区县领导挂包制度，并与市级领导挂包重大项目结合起来同步推进。</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二、创新发展５００强企业扶持政策措施</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6.创新发展５００强企业的认定。由市创新发展５００强企业工作联席会议办公室(以下简称创新发展</w:t>
                  </w:r>
                  <w:proofErr w:type="gramStart"/>
                  <w:r w:rsidRPr="00424D5E">
                    <w:rPr>
                      <w:rFonts w:ascii="宋体" w:eastAsia="宋体" w:hAnsi="宋体" w:cs="宋体"/>
                      <w:color w:val="333333"/>
                      <w:kern w:val="0"/>
                      <w:sz w:val="24"/>
                      <w:szCs w:val="24"/>
                    </w:rPr>
                    <w:t>联席办</w:t>
                  </w:r>
                  <w:proofErr w:type="gramEnd"/>
                  <w:r w:rsidRPr="00424D5E">
                    <w:rPr>
                      <w:rFonts w:ascii="宋体" w:eastAsia="宋体" w:hAnsi="宋体" w:cs="宋体"/>
                      <w:color w:val="333333"/>
                      <w:kern w:val="0"/>
                      <w:sz w:val="24"/>
                      <w:szCs w:val="24"/>
                    </w:rPr>
                    <w:t>)依据《淄博市创新发展500</w:t>
                  </w:r>
                  <w:r w:rsidRPr="00424D5E">
                    <w:rPr>
                      <w:rFonts w:ascii="宋体" w:eastAsia="宋体" w:hAnsi="宋体" w:cs="宋体"/>
                      <w:color w:val="333333"/>
                      <w:kern w:val="0"/>
                      <w:sz w:val="24"/>
                      <w:szCs w:val="24"/>
                    </w:rPr>
                    <w:lastRenderedPageBreak/>
                    <w:t>强企业认定管理办法》进行认定。创新发展</w:t>
                  </w:r>
                  <w:proofErr w:type="gramStart"/>
                  <w:r w:rsidRPr="00424D5E">
                    <w:rPr>
                      <w:rFonts w:ascii="宋体" w:eastAsia="宋体" w:hAnsi="宋体" w:cs="宋体"/>
                      <w:color w:val="333333"/>
                      <w:kern w:val="0"/>
                      <w:sz w:val="24"/>
                      <w:szCs w:val="24"/>
                    </w:rPr>
                    <w:t>联席办</w:t>
                  </w:r>
                  <w:proofErr w:type="gramEnd"/>
                  <w:r w:rsidRPr="00424D5E">
                    <w:rPr>
                      <w:rFonts w:ascii="宋体" w:eastAsia="宋体" w:hAnsi="宋体" w:cs="宋体"/>
                      <w:color w:val="333333"/>
                      <w:kern w:val="0"/>
                      <w:sz w:val="24"/>
                      <w:szCs w:val="24"/>
                    </w:rPr>
                    <w:t>由市政府办公厅牵头，市财政、经济和信息化、科技、发展改革、环保等部门组成。</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7.设立创新发展专项资金。市财政２０１３年安排1亿元创新发展专项资金，从２０１４年开始，视财力情况逐年递增。创新发展专项资金每年支持100个左右创新发展重点项目，采取无偿资助和贷款贴息两种方式，两种方式各占扶持资金的50％。</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8.创新发展重点项目的确定。每年从创新发展５００强企业所实施项目中筛选１００个左右的项目作为创新发展重点项目。项目由各区县、高新区、文昌湖旅游度假区及市直有关部门提报，</w:t>
                  </w:r>
                  <w:proofErr w:type="gramStart"/>
                  <w:r w:rsidRPr="00424D5E">
                    <w:rPr>
                      <w:rFonts w:ascii="宋体" w:eastAsia="宋体" w:hAnsi="宋体" w:cs="宋体"/>
                      <w:color w:val="333333"/>
                      <w:kern w:val="0"/>
                      <w:sz w:val="24"/>
                      <w:szCs w:val="24"/>
                    </w:rPr>
                    <w:t>经创新发展联席办</w:t>
                  </w:r>
                  <w:proofErr w:type="gramEnd"/>
                  <w:r w:rsidRPr="00424D5E">
                    <w:rPr>
                      <w:rFonts w:ascii="宋体" w:eastAsia="宋体" w:hAnsi="宋体" w:cs="宋体"/>
                      <w:color w:val="333333"/>
                      <w:kern w:val="0"/>
                      <w:sz w:val="24"/>
                      <w:szCs w:val="24"/>
                    </w:rPr>
                    <w:t>初步筛选后，组织专家评审，形成创新发展重点项目建议名单，报市政府研究批准后，由市财政直接将扶持资金拨付到企业。市经济和信息化委、市科技局负责项目建设的跟踪推进和协调服务。</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9.</w:t>
                  </w:r>
                  <w:proofErr w:type="gramStart"/>
                  <w:r w:rsidRPr="00424D5E">
                    <w:rPr>
                      <w:rFonts w:ascii="宋体" w:eastAsia="宋体" w:hAnsi="宋体" w:cs="宋体"/>
                      <w:color w:val="333333"/>
                      <w:kern w:val="0"/>
                      <w:sz w:val="24"/>
                      <w:szCs w:val="24"/>
                    </w:rPr>
                    <w:t>规</w:t>
                  </w:r>
                  <w:proofErr w:type="gramEnd"/>
                  <w:r w:rsidRPr="00424D5E">
                    <w:rPr>
                      <w:rFonts w:ascii="宋体" w:eastAsia="宋体" w:hAnsi="宋体" w:cs="宋体"/>
                      <w:color w:val="333333"/>
                      <w:kern w:val="0"/>
                      <w:sz w:val="24"/>
                      <w:szCs w:val="24"/>
                    </w:rPr>
                    <w:t>费减免。创新发展重点项目享受《中共淄博市委  淄博市人民政府关于进一步加快重大项目建设的九条意见》（</w:t>
                  </w:r>
                  <w:proofErr w:type="gramStart"/>
                  <w:r w:rsidRPr="00424D5E">
                    <w:rPr>
                      <w:rFonts w:ascii="宋体" w:eastAsia="宋体" w:hAnsi="宋体" w:cs="宋体"/>
                      <w:color w:val="333333"/>
                      <w:kern w:val="0"/>
                      <w:sz w:val="24"/>
                      <w:szCs w:val="24"/>
                    </w:rPr>
                    <w:t>淄</w:t>
                  </w:r>
                  <w:proofErr w:type="gramEnd"/>
                  <w:r w:rsidRPr="00424D5E">
                    <w:rPr>
                      <w:rFonts w:ascii="宋体" w:eastAsia="宋体" w:hAnsi="宋体" w:cs="宋体"/>
                      <w:color w:val="333333"/>
                      <w:kern w:val="0"/>
                      <w:sz w:val="24"/>
                      <w:szCs w:val="24"/>
                    </w:rPr>
                    <w:t>发〔2013〕6号）中第六条所规定的</w:t>
                  </w:r>
                  <w:proofErr w:type="gramStart"/>
                  <w:r w:rsidRPr="00424D5E">
                    <w:rPr>
                      <w:rFonts w:ascii="宋体" w:eastAsia="宋体" w:hAnsi="宋体" w:cs="宋体"/>
                      <w:color w:val="333333"/>
                      <w:kern w:val="0"/>
                      <w:sz w:val="24"/>
                      <w:szCs w:val="24"/>
                    </w:rPr>
                    <w:t>规</w:t>
                  </w:r>
                  <w:proofErr w:type="gramEnd"/>
                  <w:r w:rsidRPr="00424D5E">
                    <w:rPr>
                      <w:rFonts w:ascii="宋体" w:eastAsia="宋体" w:hAnsi="宋体" w:cs="宋体"/>
                      <w:color w:val="333333"/>
                      <w:kern w:val="0"/>
                      <w:sz w:val="24"/>
                      <w:szCs w:val="24"/>
                    </w:rPr>
                    <w:t>费减免政策。</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10.要素保障。创新发展重点项目在用地方面享受“点供”政策。金融机构对创新发展重点项目列入重点支持名录，支持情况与市对各金融机构奖励挂钩。创新发展500强企业优先纳入市产业发展基金扶持范围，以阶段性股权投资方式对承担重大科技成果转化和自主创新项目的企业给予支持。设立过桥还贷专项资金，为创新发展500强企业提供服务。</w:t>
                  </w:r>
                </w:p>
                <w:p w:rsidR="00424D5E" w:rsidRPr="00424D5E" w:rsidRDefault="00424D5E" w:rsidP="00424D5E">
                  <w:pPr>
                    <w:widowControl/>
                    <w:spacing w:line="432" w:lineRule="atLeast"/>
                    <w:rPr>
                      <w:rFonts w:ascii="宋体" w:eastAsia="宋体" w:hAnsi="宋体" w:cs="宋体"/>
                      <w:color w:val="333333"/>
                      <w:kern w:val="0"/>
                      <w:sz w:val="24"/>
                      <w:szCs w:val="24"/>
                    </w:rPr>
                  </w:pPr>
                  <w:r w:rsidRPr="00424D5E">
                    <w:rPr>
                      <w:rFonts w:ascii="宋体" w:eastAsia="宋体" w:hAnsi="宋体" w:cs="宋体"/>
                      <w:color w:val="333333"/>
                      <w:kern w:val="0"/>
                      <w:sz w:val="24"/>
                      <w:szCs w:val="24"/>
                    </w:rPr>
                    <w:t xml:space="preserve">　　11.财政返补。创新发展５００强企业缴纳地方税收增幅高于全市地方财政收入增幅的，由市、区县财政给予超出部分50%的补助，专项用于支持企业自主创新，每户企业补助资金最高不超过200万元。</w:t>
                  </w:r>
                </w:p>
              </w:tc>
            </w:tr>
            <w:tr w:rsidR="00424D5E" w:rsidRPr="00424D5E">
              <w:trPr>
                <w:trHeight w:val="1000"/>
                <w:tblCellSpacing w:w="0" w:type="dxa"/>
                <w:jc w:val="center"/>
              </w:trPr>
              <w:tc>
                <w:tcPr>
                  <w:tcW w:w="0" w:type="auto"/>
                  <w:vAlign w:val="center"/>
                  <w:hideMark/>
                </w:tcPr>
                <w:p w:rsidR="00424D5E" w:rsidRPr="00424D5E" w:rsidRDefault="00424D5E" w:rsidP="00424D5E">
                  <w:pPr>
                    <w:widowControl/>
                    <w:spacing w:line="270" w:lineRule="atLeast"/>
                    <w:jc w:val="right"/>
                    <w:rPr>
                      <w:rFonts w:ascii="宋体" w:eastAsia="宋体" w:hAnsi="宋体" w:cs="宋体"/>
                      <w:kern w:val="0"/>
                      <w:sz w:val="18"/>
                      <w:szCs w:val="18"/>
                    </w:rPr>
                  </w:pPr>
                  <w:r w:rsidRPr="00424D5E">
                    <w:rPr>
                      <w:rFonts w:ascii="宋体" w:eastAsia="宋体" w:hAnsi="宋体" w:cs="宋体"/>
                      <w:kern w:val="0"/>
                      <w:sz w:val="18"/>
                      <w:szCs w:val="18"/>
                    </w:rPr>
                    <w:lastRenderedPageBreak/>
                    <w:t>【</w:t>
                  </w:r>
                  <w:hyperlink r:id="rId4" w:history="1">
                    <w:r w:rsidRPr="00424D5E">
                      <w:rPr>
                        <w:rFonts w:ascii="宋体" w:eastAsia="宋体" w:hAnsi="宋体" w:cs="宋体"/>
                        <w:color w:val="333333"/>
                        <w:kern w:val="0"/>
                        <w:sz w:val="18"/>
                        <w:szCs w:val="18"/>
                      </w:rPr>
                      <w:t>打印此文</w:t>
                    </w:r>
                  </w:hyperlink>
                  <w:r w:rsidRPr="00424D5E">
                    <w:rPr>
                      <w:rFonts w:ascii="宋体" w:eastAsia="宋体" w:hAnsi="宋体" w:cs="宋体"/>
                      <w:kern w:val="0"/>
                      <w:sz w:val="18"/>
                      <w:szCs w:val="18"/>
                    </w:rPr>
                    <w:t>】【</w:t>
                  </w:r>
                  <w:hyperlink r:id="rId5" w:history="1">
                    <w:r w:rsidRPr="00424D5E">
                      <w:rPr>
                        <w:rFonts w:ascii="宋体" w:eastAsia="宋体" w:hAnsi="宋体" w:cs="宋体"/>
                        <w:color w:val="333333"/>
                        <w:kern w:val="0"/>
                        <w:sz w:val="18"/>
                        <w:szCs w:val="18"/>
                      </w:rPr>
                      <w:t>关闭窗口</w:t>
                    </w:r>
                  </w:hyperlink>
                  <w:r w:rsidRPr="00424D5E">
                    <w:rPr>
                      <w:rFonts w:ascii="宋体" w:eastAsia="宋体" w:hAnsi="宋体" w:cs="宋体"/>
                      <w:kern w:val="0"/>
                      <w:sz w:val="18"/>
                      <w:szCs w:val="18"/>
                    </w:rPr>
                    <w:t>】</w:t>
                  </w:r>
                </w:p>
              </w:tc>
            </w:tr>
          </w:tbl>
          <w:p w:rsidR="00424D5E" w:rsidRPr="00424D5E" w:rsidRDefault="00424D5E" w:rsidP="00424D5E">
            <w:pPr>
              <w:widowControl/>
              <w:spacing w:line="270" w:lineRule="atLeast"/>
              <w:jc w:val="left"/>
              <w:rPr>
                <w:rFonts w:ascii="宋体" w:eastAsia="宋体" w:hAnsi="宋体" w:cs="宋体"/>
                <w:vanish/>
                <w:kern w:val="0"/>
                <w:sz w:val="18"/>
                <w:szCs w:val="18"/>
              </w:rPr>
            </w:pPr>
          </w:p>
          <w:tbl>
            <w:tblPr>
              <w:tblW w:w="4600" w:type="pct"/>
              <w:jc w:val="center"/>
              <w:tblCellSpacing w:w="0" w:type="dxa"/>
              <w:tblCellMar>
                <w:left w:w="0" w:type="dxa"/>
                <w:right w:w="0" w:type="dxa"/>
              </w:tblCellMar>
              <w:tblLook w:val="04A0" w:firstRow="1" w:lastRow="0" w:firstColumn="1" w:lastColumn="0" w:noHBand="0" w:noVBand="1"/>
            </w:tblPr>
            <w:tblGrid>
              <w:gridCol w:w="7489"/>
            </w:tblGrid>
            <w:tr w:rsidR="00424D5E" w:rsidRPr="00424D5E">
              <w:trPr>
                <w:tblCellSpacing w:w="0" w:type="dxa"/>
                <w:jc w:val="center"/>
              </w:trPr>
              <w:tc>
                <w:tcPr>
                  <w:tcW w:w="0" w:type="auto"/>
                  <w:vAlign w:val="center"/>
                  <w:hideMark/>
                </w:tcPr>
                <w:p w:rsidR="00424D5E" w:rsidRPr="00424D5E" w:rsidRDefault="00424D5E" w:rsidP="00424D5E">
                  <w:pPr>
                    <w:widowControl/>
                    <w:spacing w:line="270" w:lineRule="atLeast"/>
                    <w:jc w:val="left"/>
                    <w:rPr>
                      <w:rFonts w:ascii="宋体" w:eastAsia="宋体" w:hAnsi="宋体" w:cs="宋体"/>
                      <w:kern w:val="0"/>
                      <w:sz w:val="18"/>
                      <w:szCs w:val="18"/>
                    </w:rPr>
                  </w:pPr>
                  <w:r w:rsidRPr="00424D5E">
                    <w:rPr>
                      <w:rFonts w:ascii="宋体" w:eastAsia="宋体" w:hAnsi="宋体" w:cs="宋体"/>
                      <w:kern w:val="0"/>
                      <w:sz w:val="18"/>
                      <w:szCs w:val="18"/>
                    </w:rPr>
                    <w:pict>
                      <v:rect id="_x0000_i1025" style="width:0;height:1.5pt" o:hralign="center" o:hrstd="t" o:hr="t" fillcolor="#a0a0a0" stroked="f"/>
                    </w:pict>
                  </w:r>
                </w:p>
              </w:tc>
            </w:tr>
          </w:tbl>
          <w:p w:rsidR="00424D5E" w:rsidRPr="00424D5E" w:rsidRDefault="00424D5E" w:rsidP="00424D5E">
            <w:pPr>
              <w:widowControl/>
              <w:spacing w:line="270" w:lineRule="atLeast"/>
              <w:jc w:val="left"/>
              <w:rPr>
                <w:rFonts w:ascii="宋体" w:eastAsia="宋体" w:hAnsi="宋体" w:cs="宋体"/>
                <w:vanish/>
                <w:kern w:val="0"/>
                <w:sz w:val="18"/>
                <w:szCs w:val="18"/>
              </w:rPr>
            </w:pPr>
          </w:p>
          <w:tbl>
            <w:tblPr>
              <w:tblW w:w="4600" w:type="pct"/>
              <w:jc w:val="center"/>
              <w:tblCellSpacing w:w="0" w:type="dxa"/>
              <w:tblCellMar>
                <w:left w:w="0" w:type="dxa"/>
                <w:right w:w="0" w:type="dxa"/>
              </w:tblCellMar>
              <w:tblLook w:val="04A0" w:firstRow="1" w:lastRow="0" w:firstColumn="1" w:lastColumn="0" w:noHBand="0" w:noVBand="1"/>
            </w:tblPr>
            <w:tblGrid>
              <w:gridCol w:w="3744"/>
              <w:gridCol w:w="3745"/>
            </w:tblGrid>
            <w:tr w:rsidR="00424D5E" w:rsidRPr="00424D5E">
              <w:trPr>
                <w:trHeight w:val="750"/>
                <w:tblCellSpacing w:w="0" w:type="dxa"/>
                <w:jc w:val="center"/>
              </w:trPr>
              <w:tc>
                <w:tcPr>
                  <w:tcW w:w="2500" w:type="pct"/>
                  <w:vAlign w:val="center"/>
                  <w:hideMark/>
                </w:tcPr>
                <w:p w:rsidR="00424D5E" w:rsidRPr="00424D5E" w:rsidRDefault="00424D5E" w:rsidP="00424D5E">
                  <w:pPr>
                    <w:widowControl/>
                    <w:spacing w:line="270" w:lineRule="atLeast"/>
                    <w:jc w:val="center"/>
                    <w:rPr>
                      <w:rFonts w:ascii="宋体" w:eastAsia="宋体" w:hAnsi="宋体" w:cs="宋体"/>
                      <w:kern w:val="0"/>
                      <w:sz w:val="18"/>
                      <w:szCs w:val="18"/>
                    </w:rPr>
                  </w:pPr>
                  <w:r w:rsidRPr="00424D5E">
                    <w:rPr>
                      <w:rFonts w:ascii="宋体" w:eastAsia="宋体" w:hAnsi="宋体" w:cs="宋体"/>
                      <w:b/>
                      <w:bCs/>
                      <w:color w:val="0066CC"/>
                      <w:kern w:val="0"/>
                      <w:szCs w:val="21"/>
                    </w:rPr>
                    <w:t>上一篇：</w:t>
                  </w:r>
                  <w:r w:rsidRPr="00424D5E">
                    <w:rPr>
                      <w:rFonts w:ascii="宋体" w:eastAsia="宋体" w:hAnsi="宋体" w:cs="宋体"/>
                      <w:kern w:val="0"/>
                      <w:sz w:val="18"/>
                      <w:szCs w:val="18"/>
                    </w:rPr>
                    <w:t> </w:t>
                  </w:r>
                  <w:hyperlink r:id="rId6" w:history="1">
                    <w:r w:rsidRPr="00424D5E">
                      <w:rPr>
                        <w:rFonts w:ascii="宋体" w:eastAsia="宋体" w:hAnsi="宋体" w:cs="宋体"/>
                        <w:color w:val="333333"/>
                        <w:kern w:val="0"/>
                        <w:sz w:val="24"/>
                        <w:szCs w:val="24"/>
                      </w:rPr>
                      <w:t>投资淄博企业家恳谈会召开</w:t>
                    </w:r>
                  </w:hyperlink>
                  <w:r w:rsidRPr="00424D5E">
                    <w:rPr>
                      <w:rFonts w:ascii="宋体" w:eastAsia="宋体" w:hAnsi="宋体" w:cs="宋体"/>
                      <w:kern w:val="0"/>
                      <w:sz w:val="18"/>
                      <w:szCs w:val="18"/>
                    </w:rPr>
                    <w:t> </w:t>
                  </w:r>
                </w:p>
              </w:tc>
              <w:tc>
                <w:tcPr>
                  <w:tcW w:w="2500" w:type="pct"/>
                  <w:vAlign w:val="center"/>
                  <w:hideMark/>
                </w:tcPr>
                <w:p w:rsidR="00424D5E" w:rsidRPr="00424D5E" w:rsidRDefault="00424D5E" w:rsidP="00424D5E">
                  <w:pPr>
                    <w:widowControl/>
                    <w:spacing w:line="270" w:lineRule="atLeast"/>
                    <w:jc w:val="center"/>
                    <w:rPr>
                      <w:rFonts w:ascii="宋体" w:eastAsia="宋体" w:hAnsi="宋体" w:cs="宋体"/>
                      <w:kern w:val="0"/>
                      <w:sz w:val="18"/>
                      <w:szCs w:val="18"/>
                    </w:rPr>
                  </w:pPr>
                  <w:r w:rsidRPr="00424D5E">
                    <w:rPr>
                      <w:rFonts w:ascii="宋体" w:eastAsia="宋体" w:hAnsi="宋体" w:cs="宋体"/>
                      <w:b/>
                      <w:bCs/>
                      <w:color w:val="0066CC"/>
                      <w:kern w:val="0"/>
                      <w:szCs w:val="21"/>
                    </w:rPr>
                    <w:t>下一篇：</w:t>
                  </w:r>
                  <w:r w:rsidRPr="00424D5E">
                    <w:rPr>
                      <w:rFonts w:ascii="宋体" w:eastAsia="宋体" w:hAnsi="宋体" w:cs="宋体"/>
                      <w:kern w:val="0"/>
                      <w:sz w:val="18"/>
                      <w:szCs w:val="18"/>
                    </w:rPr>
                    <w:t> </w:t>
                  </w:r>
                  <w:hyperlink r:id="rId7" w:history="1">
                    <w:r w:rsidRPr="00424D5E">
                      <w:rPr>
                        <w:rFonts w:ascii="宋体" w:eastAsia="宋体" w:hAnsi="宋体" w:cs="宋体"/>
                        <w:color w:val="333333"/>
                        <w:kern w:val="0"/>
                        <w:sz w:val="24"/>
                        <w:szCs w:val="24"/>
                      </w:rPr>
                      <w:t>淄博市重大建设项目管理试行办法</w:t>
                    </w:r>
                  </w:hyperlink>
                </w:p>
              </w:tc>
            </w:tr>
          </w:tbl>
          <w:p w:rsidR="00424D5E" w:rsidRPr="00424D5E" w:rsidRDefault="00424D5E" w:rsidP="00424D5E">
            <w:pPr>
              <w:widowControl/>
              <w:spacing w:line="270" w:lineRule="atLeast"/>
              <w:jc w:val="left"/>
              <w:rPr>
                <w:rFonts w:ascii="宋体" w:eastAsia="宋体" w:hAnsi="宋体" w:cs="宋体"/>
                <w:kern w:val="0"/>
                <w:sz w:val="18"/>
                <w:szCs w:val="18"/>
              </w:rPr>
            </w:pPr>
          </w:p>
        </w:tc>
      </w:tr>
    </w:tbl>
    <w:p w:rsidR="00424D5E" w:rsidRPr="00424D5E" w:rsidRDefault="00424D5E" w:rsidP="00424D5E">
      <w:pPr>
        <w:widowControl/>
        <w:jc w:val="center"/>
        <w:rPr>
          <w:rFonts w:ascii="宋体" w:eastAsia="宋体" w:hAnsi="宋体" w:cs="宋体"/>
          <w:kern w:val="0"/>
          <w:sz w:val="24"/>
          <w:szCs w:val="24"/>
        </w:rPr>
      </w:pPr>
    </w:p>
    <w:p w:rsidR="0005687E" w:rsidRPr="00424D5E" w:rsidRDefault="00424D5E"/>
    <w:sectPr w:rsidR="0005687E" w:rsidRPr="00424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D5E"/>
    <w:rsid w:val="001B6451"/>
    <w:rsid w:val="00424D5E"/>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4FA3C-C6B6-4AAB-9110-16A59DBB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D5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24D5E"/>
    <w:rPr>
      <w:color w:val="0000FF"/>
      <w:u w:val="single"/>
    </w:rPr>
  </w:style>
  <w:style w:type="character" w:customStyle="1" w:styleId="shangxia">
    <w:name w:val="shangxia"/>
    <w:basedOn w:val="a0"/>
    <w:rsid w:val="00424D5E"/>
  </w:style>
  <w:style w:type="character" w:customStyle="1" w:styleId="apple-converted-space">
    <w:name w:val="apple-converted-space"/>
    <w:basedOn w:val="a0"/>
    <w:rsid w:val="0042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bjkq.gov.cn/info_Show.asp?ArticleID=8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bjkq.gov.cn/info_Show.asp?ArticleID=841" TargetMode="External"/><Relationship Id="rId5" Type="http://schemas.openxmlformats.org/officeDocument/2006/relationships/hyperlink" Target="javascript:window.close();" TargetMode="External"/><Relationship Id="rId4" Type="http://schemas.openxmlformats.org/officeDocument/2006/relationships/hyperlink" Target="http://www.zbjkq.gov.cn/info_Print.asp?ArticleID=842"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2018-05-09T02:18:00Z</dcterms:created>
  <dcterms:modified xsi:type="dcterms:W3CDTF">2018-05-09T02:19:00Z</dcterms:modified>
</cp:coreProperties>
</file>