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159B8" w:rsidRPr="005159B8" w:rsidTr="005159B8">
        <w:trPr>
          <w:trHeight w:val="7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5159B8" w:rsidRDefault="005159B8" w:rsidP="005159B8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b/>
                <w:bCs/>
                <w:color w:val="00599B"/>
                <w:kern w:val="0"/>
                <w:sz w:val="36"/>
                <w:szCs w:val="36"/>
              </w:rPr>
            </w:pPr>
            <w:bookmarkStart w:id="0" w:name="_GoBack"/>
            <w:r w:rsidRPr="005159B8">
              <w:rPr>
                <w:rFonts w:ascii="Simsun" w:eastAsia="宋体" w:hAnsi="Simsun" w:cs="宋体"/>
                <w:b/>
                <w:bCs/>
                <w:color w:val="00599B"/>
                <w:kern w:val="0"/>
                <w:sz w:val="36"/>
                <w:szCs w:val="36"/>
              </w:rPr>
              <w:t>凤庆县工业上山企业入园招商引资奖励办法</w:t>
            </w:r>
          </w:p>
          <w:p w:rsidR="005159B8" w:rsidRPr="005159B8" w:rsidRDefault="005159B8" w:rsidP="005159B8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b/>
                <w:bCs/>
                <w:color w:val="00599B"/>
                <w:kern w:val="0"/>
                <w:sz w:val="36"/>
                <w:szCs w:val="36"/>
              </w:rPr>
            </w:pPr>
            <w:r w:rsidRPr="005159B8">
              <w:rPr>
                <w:rFonts w:ascii="Simsun" w:eastAsia="宋体" w:hAnsi="Simsun" w:cs="宋体"/>
                <w:b/>
                <w:bCs/>
                <w:color w:val="00599B"/>
                <w:kern w:val="0"/>
                <w:sz w:val="36"/>
                <w:szCs w:val="36"/>
              </w:rPr>
              <w:t>（试行）</w:t>
            </w:r>
            <w:bookmarkEnd w:id="0"/>
          </w:p>
        </w:tc>
      </w:tr>
      <w:tr w:rsidR="005159B8" w:rsidRPr="005159B8" w:rsidTr="005159B8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159B8" w:rsidRPr="005159B8" w:rsidRDefault="005159B8" w:rsidP="005159B8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</w:pPr>
            <w:r w:rsidRPr="005159B8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新闻来源：临沧市招商局</w:t>
            </w:r>
            <w:r w:rsidRPr="005159B8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 xml:space="preserve">  </w:t>
            </w:r>
            <w:r w:rsidRPr="005159B8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发布人：</w:t>
            </w:r>
            <w:r w:rsidRPr="005159B8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admin   </w:t>
            </w:r>
            <w:r w:rsidRPr="005159B8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发布时间：</w:t>
            </w:r>
            <w:r w:rsidRPr="005159B8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2013-06-13</w:t>
            </w:r>
          </w:p>
        </w:tc>
      </w:tr>
      <w:tr w:rsidR="005159B8" w:rsidRPr="005159B8" w:rsidTr="005159B8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E6E6E6"/>
            <w:vAlign w:val="center"/>
            <w:hideMark/>
          </w:tcPr>
          <w:p w:rsidR="005159B8" w:rsidRPr="005159B8" w:rsidRDefault="005159B8" w:rsidP="005159B8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</w:pPr>
          </w:p>
        </w:tc>
      </w:tr>
      <w:tr w:rsidR="005159B8" w:rsidRPr="005159B8" w:rsidTr="005159B8">
        <w:trPr>
          <w:trHeight w:val="5880"/>
          <w:tblCellSpacing w:w="0" w:type="dxa"/>
          <w:jc w:val="center"/>
        </w:trPr>
        <w:tc>
          <w:tcPr>
            <w:tcW w:w="0" w:type="auto"/>
            <w:hideMark/>
          </w:tcPr>
          <w:p w:rsidR="005159B8" w:rsidRPr="005159B8" w:rsidRDefault="005159B8" w:rsidP="005159B8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   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为紧紧抓住国家新一轮西部大开发和省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“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两强</w:t>
            </w:r>
            <w:proofErr w:type="gramStart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”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战略重大机遇，按照省第九次党代会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“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城镇上山、工业上山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”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要求，凡符合国家产业导向，投资规模大、示范性明显、带动作用大、产业关联度强的企业，入驻我县实施工业上山和入驻滇红生态产业园区和</w:t>
            </w:r>
            <w:proofErr w:type="gramStart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勐</w:t>
            </w:r>
            <w:proofErr w:type="gramEnd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佑工业园区投资的企业，给予招商引资奖励，并制定本奖励办法：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第一条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上山企业和入园企业在按规定完成固定资产投资额度，并按时竣工投产，经项目审批部门审核确认后，由县财政按比例给予奖励：固定资产投资额在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万元至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万元（不含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万元）的项目，按当年土地出让总金额地方留成部分的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一次予以奖励；固定资产投资额在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万元至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亿元（不含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亿元）的项目，按当年土地出让总金额地方留成部分的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一次予以奖励；固定资产投资额在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亿元至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亿元（不含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亿元）的项目，按当年土地出让总金额地方留成部分的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80%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一次予以奖励；固定资产投资额在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亿元及以上的项目，按当年土地出让总金额地方留成部分的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一次予以奖励。奖励资金必须全额用于企业扩大再生产。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第二条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 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上山和入园企业除享受国家现行税收优惠政策外，建成投产后的前五年内，每年（在一个会计年度内）缴纳各项税收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万元至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万元的，给予县级可用财力部分的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的奖励；缴纳各项税收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万元至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万元的，给予县级可用财力部分的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40%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的奖励；缴纳各项税收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万元以上的，给予县级可用财力部分的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60%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的奖励。税收实行一年</w:t>
            </w:r>
            <w:proofErr w:type="gramStart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补助，由企业提出申请，经县财政和税务部门审核确认，报县人民政府审批后予以拨付，奖励资金必须全额用于企业扩大再生产。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第三条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 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上山和入园企业未上规模达到规模以上的当年给予一次性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万元奖励。已达规模企业并荣获中国驰名商标、中国名牌产品的，当年给予一次性奖励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万元；对获得云南省著名商标、云南省名牌产品的企业，当年给予一次性奖励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万元；企业自主研发的产品、技术获得国家专利，用于生产并获得经济效益的，当年给予一次性奖励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万元。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第四条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 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按照我县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“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建设国家级园林城市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”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要求，鼓励上山和入园企业积极打造园林厂区、园林企业。企业做好内部绿化、美化、亮化等相关工作的，经县住</w:t>
            </w:r>
            <w:proofErr w:type="gramStart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建部门</w:t>
            </w:r>
            <w:proofErr w:type="gramEnd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验收合格后，县人民政府根据投入情况给予适当奖励，最高限额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万元。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 xml:space="preserve">　　第五条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 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凡在滇红生态产业园区和</w:t>
            </w:r>
            <w:proofErr w:type="gramStart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勐</w:t>
            </w:r>
            <w:proofErr w:type="gramEnd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佑工业园区并达到</w:t>
            </w:r>
            <w:proofErr w:type="gramStart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省级规定</w:t>
            </w:r>
            <w:proofErr w:type="gramEnd"/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标准，由园区管委会统一规划，符合园区产业发展规划，承接中小企业及非公企业入园发展的新建标准厂房，经工业园区管理部门审查认可后，积极向省、市申报扶持资金，待资金下达后全额兑现到企业；未获得省、市补助的企业，县级给予每平方米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元的奖励。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第六条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 </w:t>
            </w:r>
            <w:r w:rsidRPr="005159B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本办法从发文之日起执行，本办法由县招商局负责解释。</w:t>
            </w:r>
          </w:p>
        </w:tc>
      </w:tr>
    </w:tbl>
    <w:p w:rsidR="00AC7A4C" w:rsidRPr="005159B8" w:rsidRDefault="00AC7A4C"/>
    <w:sectPr w:rsidR="00AC7A4C" w:rsidRPr="0051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57"/>
    <w:rsid w:val="001A3C57"/>
    <w:rsid w:val="005159B8"/>
    <w:rsid w:val="00A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24151-45EC-4D43-9AD6-DEAE1BE5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14hei">
    <w:name w:val="new_14_hei"/>
    <w:basedOn w:val="a"/>
    <w:rsid w:val="00515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n14list">
    <w:name w:val="lan_14_list"/>
    <w:basedOn w:val="a0"/>
    <w:rsid w:val="0051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2018-05-24T10:32:00Z</dcterms:created>
  <dcterms:modified xsi:type="dcterms:W3CDTF">2018-05-24T10:32:00Z</dcterms:modified>
</cp:coreProperties>
</file>