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 w:type="dxa"/>
        <w:tblCellMar>
          <w:top w:w="15" w:type="dxa"/>
          <w:left w:w="15" w:type="dxa"/>
          <w:bottom w:w="15" w:type="dxa"/>
          <w:right w:w="15" w:type="dxa"/>
        </w:tblCellMar>
        <w:tblLook w:val="04A0" w:firstRow="1" w:lastRow="0" w:firstColumn="1" w:lastColumn="0" w:noHBand="0" w:noVBand="1"/>
      </w:tblPr>
      <w:tblGrid>
        <w:gridCol w:w="4234"/>
        <w:gridCol w:w="4041"/>
      </w:tblGrid>
      <w:tr w:rsidR="004D600E" w:rsidRPr="004D600E" w14:paraId="17C4B9F2" w14:textId="77777777" w:rsidTr="004D600E">
        <w:tc>
          <w:tcPr>
            <w:tcW w:w="7980" w:type="dxa"/>
            <w:gridSpan w:val="2"/>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25F7354E"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索 引 号：01236931-5/2018-00840</w:t>
            </w:r>
          </w:p>
        </w:tc>
      </w:tr>
      <w:tr w:rsidR="004D600E" w:rsidRPr="004D600E" w14:paraId="27474CEB" w14:textId="77777777" w:rsidTr="004D600E">
        <w:tc>
          <w:tcPr>
            <w:tcW w:w="798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711E2CC3"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发文字号：武政办发〔2018〕5号</w:t>
            </w:r>
          </w:p>
        </w:tc>
        <w:tc>
          <w:tcPr>
            <w:tcW w:w="798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2DA8295B"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发文时间：2018-03-28</w:t>
            </w:r>
          </w:p>
        </w:tc>
      </w:tr>
      <w:tr w:rsidR="004D600E" w:rsidRPr="004D600E" w14:paraId="3C281C65" w14:textId="77777777" w:rsidTr="004D600E">
        <w:tc>
          <w:tcPr>
            <w:tcW w:w="798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755EAA6F"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发文机关：武乡县人民政府办公室</w:t>
            </w:r>
          </w:p>
        </w:tc>
        <w:tc>
          <w:tcPr>
            <w:tcW w:w="798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4BBD6713"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主 题 词：中国好粮油行动示范工程</w:t>
            </w:r>
          </w:p>
        </w:tc>
      </w:tr>
      <w:tr w:rsidR="004D600E" w:rsidRPr="004D600E" w14:paraId="5517BB05" w14:textId="77777777" w:rsidTr="004D600E">
        <w:tc>
          <w:tcPr>
            <w:tcW w:w="7980" w:type="dxa"/>
            <w:gridSpan w:val="2"/>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69D61605"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标 题：武乡县人民政府办公室 关于印发武乡县“中国好粮油”行动示范工程 实施方案的通知</w:t>
            </w:r>
          </w:p>
        </w:tc>
      </w:tr>
      <w:tr w:rsidR="004D600E" w:rsidRPr="004D600E" w14:paraId="624A5196" w14:textId="77777777" w:rsidTr="004D600E">
        <w:tc>
          <w:tcPr>
            <w:tcW w:w="798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0A6E9CAA"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主题分类：其他</w:t>
            </w:r>
          </w:p>
        </w:tc>
        <w:tc>
          <w:tcPr>
            <w:tcW w:w="798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hideMark/>
          </w:tcPr>
          <w:p w14:paraId="507CE42C" w14:textId="77777777" w:rsidR="004D600E" w:rsidRPr="004D600E" w:rsidRDefault="004D600E" w:rsidP="004D600E">
            <w:pPr>
              <w:widowControl/>
              <w:spacing w:line="570" w:lineRule="atLeast"/>
              <w:jc w:val="left"/>
              <w:rPr>
                <w:rFonts w:ascii="宋体" w:eastAsia="宋体" w:hAnsi="宋体" w:cs="宋体"/>
                <w:kern w:val="0"/>
                <w:sz w:val="24"/>
                <w:szCs w:val="24"/>
              </w:rPr>
            </w:pPr>
            <w:r w:rsidRPr="004D600E">
              <w:rPr>
                <w:rFonts w:ascii="宋体" w:eastAsia="宋体" w:hAnsi="宋体" w:cs="宋体"/>
                <w:kern w:val="0"/>
                <w:sz w:val="24"/>
                <w:szCs w:val="24"/>
              </w:rPr>
              <w:t>发布日期：2018-03-28</w:t>
            </w:r>
          </w:p>
        </w:tc>
      </w:tr>
    </w:tbl>
    <w:p w14:paraId="5828CD05" w14:textId="77777777" w:rsidR="004D600E" w:rsidRPr="004D600E" w:rsidRDefault="004D600E" w:rsidP="004D600E">
      <w:pPr>
        <w:widowControl/>
        <w:shd w:val="clear" w:color="auto" w:fill="FFFFFF"/>
        <w:spacing w:before="300" w:after="60"/>
        <w:jc w:val="center"/>
        <w:outlineLvl w:val="2"/>
        <w:rPr>
          <w:rFonts w:ascii="宋体" w:eastAsia="宋体" w:hAnsi="宋体" w:cs="宋体"/>
          <w:color w:val="444444"/>
          <w:kern w:val="0"/>
          <w:sz w:val="51"/>
          <w:szCs w:val="51"/>
        </w:rPr>
      </w:pPr>
      <w:r w:rsidRPr="004D600E">
        <w:rPr>
          <w:rFonts w:ascii="宋体" w:eastAsia="宋体" w:hAnsi="宋体" w:cs="宋体"/>
          <w:color w:val="444444"/>
          <w:kern w:val="0"/>
          <w:sz w:val="51"/>
          <w:szCs w:val="51"/>
        </w:rPr>
        <w:t>武乡县人民政府办公室 关于印发武乡县“中国好粮油”行动示范工程 实施方案的通知</w:t>
      </w:r>
    </w:p>
    <w:p w14:paraId="304E1761" w14:textId="6FD7658A" w:rsidR="004D600E" w:rsidRPr="004D600E" w:rsidRDefault="004D600E" w:rsidP="004D600E">
      <w:pPr>
        <w:widowControl/>
        <w:shd w:val="clear" w:color="auto" w:fill="FFFFFF"/>
        <w:spacing w:before="100" w:beforeAutospacing="1" w:after="100" w:afterAutospacing="1"/>
        <w:jc w:val="left"/>
        <w:rPr>
          <w:rFonts w:ascii="宋体" w:eastAsia="宋体" w:hAnsi="宋体" w:cs="宋体"/>
          <w:vanish/>
          <w:kern w:val="0"/>
          <w:sz w:val="24"/>
          <w:szCs w:val="24"/>
        </w:rPr>
      </w:pPr>
      <w:r w:rsidRPr="004D600E">
        <w:rPr>
          <w:rFonts w:ascii="宋体" w:eastAsia="宋体" w:hAnsi="宋体" w:cs="宋体"/>
          <w:vanish/>
          <w:kern w:val="0"/>
          <w:sz w:val="24"/>
          <w:szCs w:val="24"/>
        </w:rPr>
        <w:t xml:space="preserve"> 时间：2017-08-20      </w:t>
      </w:r>
      <w:r w:rsidRPr="004D600E">
        <w:rPr>
          <w:rFonts w:ascii="宋体" w:eastAsia="宋体" w:hAnsi="宋体" w:cs="宋体"/>
          <w:noProof/>
          <w:vanish/>
          <w:kern w:val="0"/>
          <w:sz w:val="24"/>
          <w:szCs w:val="24"/>
        </w:rPr>
        <w:drawing>
          <wp:inline distT="0" distB="0" distL="0" distR="0" wp14:anchorId="758D5FFE" wp14:editId="1EB0631F">
            <wp:extent cx="1899920" cy="1899920"/>
            <wp:effectExtent l="0" t="0" r="5080" b="5080"/>
            <wp:docPr id="3" name="图片 3" descr="http://www.zgwx.gov.cn/wxxxgk/images/bi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gwx.gov.cn/wxxxgk/images/big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r w:rsidRPr="004D600E">
        <w:rPr>
          <w:rFonts w:ascii="宋体" w:eastAsia="宋体" w:hAnsi="宋体" w:cs="宋体"/>
          <w:vanish/>
          <w:kern w:val="0"/>
          <w:sz w:val="24"/>
          <w:szCs w:val="24"/>
        </w:rPr>
        <w:t xml:space="preserve"> 大   </w:t>
      </w:r>
      <w:r w:rsidRPr="004D600E">
        <w:rPr>
          <w:rFonts w:ascii="宋体" w:eastAsia="宋体" w:hAnsi="宋体" w:cs="宋体"/>
          <w:noProof/>
          <w:vanish/>
          <w:kern w:val="0"/>
          <w:sz w:val="24"/>
          <w:szCs w:val="24"/>
        </w:rPr>
        <w:drawing>
          <wp:inline distT="0" distB="0" distL="0" distR="0" wp14:anchorId="4BA8925A" wp14:editId="267A34C9">
            <wp:extent cx="1899920" cy="1899920"/>
            <wp:effectExtent l="0" t="0" r="0" b="0"/>
            <wp:docPr id="2" name="图片 2" descr="http://www.zgwx.gov.cn/wxxxgk/images/com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gwx.gov.cn/wxxxgk/images/comm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r w:rsidRPr="004D600E">
        <w:rPr>
          <w:rFonts w:ascii="宋体" w:eastAsia="宋体" w:hAnsi="宋体" w:cs="宋体"/>
          <w:vanish/>
          <w:kern w:val="0"/>
          <w:sz w:val="24"/>
          <w:szCs w:val="24"/>
        </w:rPr>
        <w:t xml:space="preserve"> 中   </w:t>
      </w:r>
      <w:r w:rsidRPr="004D600E">
        <w:rPr>
          <w:rFonts w:ascii="宋体" w:eastAsia="宋体" w:hAnsi="宋体" w:cs="宋体"/>
          <w:noProof/>
          <w:vanish/>
          <w:kern w:val="0"/>
          <w:sz w:val="24"/>
          <w:szCs w:val="24"/>
        </w:rPr>
        <w:drawing>
          <wp:inline distT="0" distB="0" distL="0" distR="0" wp14:anchorId="1D0362EF" wp14:editId="451FA2D5">
            <wp:extent cx="1899920" cy="1899920"/>
            <wp:effectExtent l="0" t="0" r="5080" b="5080"/>
            <wp:docPr id="1" name="图片 1" descr="http://www.zgwx.gov.cn/wxxxgk/images/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gwx.gov.cn/wxxxgk/images/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r w:rsidRPr="004D600E">
        <w:rPr>
          <w:rFonts w:ascii="宋体" w:eastAsia="宋体" w:hAnsi="宋体" w:cs="宋体"/>
          <w:vanish/>
          <w:kern w:val="0"/>
          <w:sz w:val="24"/>
          <w:szCs w:val="24"/>
        </w:rPr>
        <w:t xml:space="preserve"> 小      </w:t>
      </w:r>
    </w:p>
    <w:p w14:paraId="3EE3A08E"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 各乡镇人民政府、石盘开发区办事处，县直各有关单位：</w:t>
      </w:r>
    </w:p>
    <w:p w14:paraId="3D9349E4"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经县人民政府同意，现将《武乡县中国好粮油行动示范工程实施方案》印发给你们，请认真遵照执行。 </w:t>
      </w:r>
    </w:p>
    <w:p w14:paraId="568695A8"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  </w:t>
      </w:r>
    </w:p>
    <w:p w14:paraId="0428221B"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武乡县人民政府办公室 </w:t>
      </w:r>
    </w:p>
    <w:p w14:paraId="12B111A5"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2018年2月5日 </w:t>
      </w:r>
    </w:p>
    <w:p w14:paraId="2DFEA462"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武乡县“中国好粮油”行动示范工程 </w:t>
      </w:r>
    </w:p>
    <w:p w14:paraId="1CF51B58"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实施方案 </w:t>
      </w:r>
    </w:p>
    <w:p w14:paraId="0226CD59"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  </w:t>
      </w:r>
    </w:p>
    <w:p w14:paraId="25A082A9"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为贯彻落实党的十九大和《国家粮食局办公室关于在粮食流通领域实施“优质粮食工程”有关事项的通知》《山西省粮食局 山西省财政厅关于在全省粮食流通领域实施“优质粮食工程”的意见》精神，扎实推进全县粮食行业供给侧结构性改革，发挥优质粮食资源优势，促进粮食种植结构调整，提高优质绿色粮油供给水平，实现粮食产业经济提质增效，结合我县实际，特制定本方案。 </w:t>
      </w:r>
    </w:p>
    <w:p w14:paraId="19C15122"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lastRenderedPageBreak/>
        <w:t>一、指导思想 </w:t>
      </w:r>
    </w:p>
    <w:p w14:paraId="285257A0"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    深入贯彻落实《中共中央国务院关于深入推进农业供给侧结构性改革加快培育农业农村发展新动能的若干意见》和《食品安全法》，牢固树立创新、协调、绿色、开放、共享发展理念，坚定不移推进粮食行业供给侧结构性改革。通过行动示范工程的实施，加快提升绿色优质粮油供给水平，扩大绿色优质粮油产品规模，增加农民种粮收入，助力脱贫攻坚。 </w:t>
      </w:r>
    </w:p>
    <w:p w14:paraId="79F85988"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二、主要目标 </w:t>
      </w:r>
    </w:p>
    <w:p w14:paraId="478FB064"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通过“中国好粮油”行动，以“增品种、提品质、创品牌”为目标，引领绿色优质粮油规模化种植、标准化加工、品牌化经营，不断增加绿色优质粮油产品供给，力争到2020年，粮油优质品率提高30%以上；全县建立优质原料粮生产基地10万亩以上（其中优质小米生产基地三万亩）；培育2家“中国好粮油”示范企业；发展2个“中国好粮油”产品品牌。促进粮油品质提升、农民增收、农业增效，加速推动我县由粮油生产大县向粮油产业经济强县转型。 </w:t>
      </w:r>
    </w:p>
    <w:p w14:paraId="6E6EBB13"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三、主要任务 </w:t>
      </w:r>
    </w:p>
    <w:p w14:paraId="290BC46F"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一）开展“中国好粮油”品质测评测报。按照“中国好粮油”系列标准和质量控制准则要求，创建质量检验中心，对武乡小米种植情况进行摸底和分类，在秋粮收购前和粮食储存期间，及时组织对新收获的主要粮食品种的品质与质量安全状况进行科学检验测评、及时发布信息，全面掌握全县粮食品质变化情况，科学引导优质粮食标准化规模化生产。 </w:t>
      </w:r>
    </w:p>
    <w:p w14:paraId="437BABF8"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（二）开展“中国好粮油”产品市场抽检。每年最少组织对本县 “老家小米”、“晋黄羊肥”牌小米等主要好粮油产品进行品质、食品安全、包装及标识规范性抽检测评2次。 </w:t>
      </w:r>
    </w:p>
    <w:p w14:paraId="7A81142B"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（三）加强“中国好粮油”质量监管。对本县粮油产品进行全面测评，纳入“好粮油”示范企业要建立粮油质量档案，确保质量信息可追溯。 </w:t>
      </w:r>
    </w:p>
    <w:p w14:paraId="44EFB5F9"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四）建立和维护“中国好粮油”示范基地。按照“公司+基地+农户”模式，在全县示范推广有机小米、小杂粮等产业，通过订单农业、土地流转等方式，建设一批绿色有机优质粮源基地。到2020年，在上司乡、韩北乡、丰州镇等乡镇建设绿色、有机小米种植基地3万亩，促进全县优良谷子种植向规模化、高效化、产业化方向发展，从而带动全县农业增效、农民增收。 </w:t>
      </w:r>
    </w:p>
    <w:p w14:paraId="3B24F124"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五）提高粮油产品收储能力。积极鼓励粮食经营主体采用分类收储、低温储存等新技术，建立和完善适合本地区的优质粮油产品储存体系，促进优质粮油产品专收专储、提质升级。在对现有仓房进行功能提升的同时，新建恒温保鲜库2座，储粮仓5个。 </w:t>
      </w:r>
    </w:p>
    <w:p w14:paraId="1343CA32"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（六）健全粮油产品营销体系。开展多种形式的优质粮油产销对接活动，加强好粮油宣传，建立优质粮油销售体系，促进优质粮食营销宣传推广，打造地域</w:t>
      </w:r>
      <w:r w:rsidRPr="004D600E">
        <w:rPr>
          <w:rFonts w:ascii="宋体" w:eastAsia="宋体" w:hAnsi="宋体" w:cs="宋体"/>
          <w:kern w:val="0"/>
          <w:sz w:val="24"/>
          <w:szCs w:val="24"/>
        </w:rPr>
        <w:lastRenderedPageBreak/>
        <w:t>特色优质粮油品牌。开展形式多样的优质粮油产销对接和产品展销活动，积极组织具有实力的县域企业参与市场对接互联互通，积极参与粮食交易平台定期开展的“中国好粮油”专场销售活动，同时利用新型媒体平台，全方位、多层次宣传、打造“武乡小米”品牌，逐步扩大“武乡小米”的知名度和市场占有率。 </w:t>
      </w:r>
    </w:p>
    <w:p w14:paraId="2AB0AB05"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七）支持龙头企业示范带动。鼓励和扶持龙头企业采用“中国好粮油”产品标准、质量控制规则及地方特色农产品标准，延伸产业链，开发优质产品，发展精深加工，带动粮油产业发展。建立农产品质量安全管理制度,加强质量保障体系建设，建立追溯体系。 </w:t>
      </w:r>
    </w:p>
    <w:p w14:paraId="569DA3E6"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八）加快科技创新。鼓励和引导龙头企业发挥科技创新主体作用，围绕粮食领域重点关键技术需求，做好新工艺改造和科研项目研究，促进科技成果转化。与科研院所积极合作，结合武乡气候土壤条件，开发具有武乡特色的小米、杂粮品种。 </w:t>
      </w:r>
    </w:p>
    <w:p w14:paraId="78A59A86"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九）构建放心粮油体系。对本次“中国好粮油”示范工程进行统筹安排，建立健全品牌建设体系、质量检测体系、质量追溯体系、仓储物流体系、产后服务体系，结合实际，加强优质粮油发展总体设计，科学编制实施方案，明确武乡推进“中国好粮油”行动计划总体目标和分年度目标、重点任务、时间进度安排及主要措施。 </w:t>
      </w:r>
    </w:p>
    <w:p w14:paraId="0425FD12"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十）建立综合服务基地。指导粮食生产经营主体按照“中国好粮油”标准及规范组织生产。创新体制机制，促进一二三产业融合发展，实现特色粮食产品进城和工业品下乡。建设粮食产业示范乡3个、示范村5个。 </w:t>
      </w:r>
    </w:p>
    <w:p w14:paraId="406A4EB7"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四、资金安排 </w:t>
      </w:r>
    </w:p>
    <w:p w14:paraId="495A9EA4"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为全面实施“中国好粮油”示范工程，积极筹措资金3100万元（其中老家小米1400万元、</w:t>
      </w:r>
      <w:proofErr w:type="gramStart"/>
      <w:r w:rsidRPr="004D600E">
        <w:rPr>
          <w:rFonts w:ascii="宋体" w:eastAsia="宋体" w:hAnsi="宋体" w:cs="宋体"/>
          <w:kern w:val="0"/>
          <w:sz w:val="24"/>
          <w:szCs w:val="24"/>
        </w:rPr>
        <w:t>晋皇羊肥</w:t>
      </w:r>
      <w:proofErr w:type="gramEnd"/>
      <w:r w:rsidRPr="004D600E">
        <w:rPr>
          <w:rFonts w:ascii="宋体" w:eastAsia="宋体" w:hAnsi="宋体" w:cs="宋体"/>
          <w:kern w:val="0"/>
          <w:sz w:val="24"/>
          <w:szCs w:val="24"/>
        </w:rPr>
        <w:t>1700万元），实施两个示范项目。 </w:t>
      </w:r>
    </w:p>
    <w:p w14:paraId="3484E374"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（一）老家农业开发有限公司“中国好粮油”示范项目 </w:t>
      </w:r>
    </w:p>
    <w:p w14:paraId="6916A5D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1.建设旱作有机谷子种植示范基地4000亩，当年进行3000亩土地有机转换工作，总投资550万元，其中企业自筹275万元，申请中央财政补助165万元，县级财政补助110万元。 </w:t>
      </w:r>
    </w:p>
    <w:p w14:paraId="24E60F7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2.现代化仓储建设，总投资200万元，其中企业自筹100万元，申请中央财政补助60万元，县级财政补助40万元。 </w:t>
      </w:r>
    </w:p>
    <w:p w14:paraId="28ED0015"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3.健全质量管理与追溯体系，打造“武乡小米”品牌，总投资300万元，其中企业自筹150万元，申请中央财政补助90万元，县级财政补助60万元。 </w:t>
      </w:r>
    </w:p>
    <w:p w14:paraId="2728FF05"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lastRenderedPageBreak/>
        <w:t>4.与科研机构合作研发、引进优质小米品种，打造多种系列产品，总投资150万元，其中企业自筹75万元，申请中央财政补助45万元，县级财政补助30万元。 </w:t>
      </w:r>
    </w:p>
    <w:p w14:paraId="6ACC310A"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5.鼓励企业提高绿色优质粮油产品供给水平，引进全自动加工设备，总投资200万元，其中企业自筹100万元，申请中央财政补助60万元，县级财政补助40万元。 </w:t>
      </w:r>
    </w:p>
    <w:p w14:paraId="36823EC0"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（二）太行沃土农业产品有限公司“中国好粮油”示范项目 </w:t>
      </w:r>
    </w:p>
    <w:p w14:paraId="3DAE17C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1.</w:t>
      </w:r>
      <w:proofErr w:type="gramStart"/>
      <w:r w:rsidRPr="004D600E">
        <w:rPr>
          <w:rFonts w:ascii="宋体" w:eastAsia="宋体" w:hAnsi="宋体" w:cs="宋体"/>
          <w:kern w:val="0"/>
          <w:sz w:val="24"/>
          <w:szCs w:val="24"/>
        </w:rPr>
        <w:t>扩建晋皇羊肥</w:t>
      </w:r>
      <w:proofErr w:type="gramEnd"/>
      <w:r w:rsidRPr="004D600E">
        <w:rPr>
          <w:rFonts w:ascii="宋体" w:eastAsia="宋体" w:hAnsi="宋体" w:cs="宋体"/>
          <w:kern w:val="0"/>
          <w:sz w:val="24"/>
          <w:szCs w:val="24"/>
        </w:rPr>
        <w:t>小米二年休耕种植基地4400亩，三年休耕种植基地3000亩，五年休耕种植基地2000亩。严格按照标准申请绿色基地、有机认证、原产地、无公害、“武乡小米”地理标识等资质。总投资400万元，其中企业自筹200万元，申请中央财政补助120万元，县级财政补助80。 </w:t>
      </w:r>
    </w:p>
    <w:p w14:paraId="5AD3FB52"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2.建设恒温冷藏库，并改造仓储设施，总投资180万元，其中企业自筹90万元，申请中央财政补助54万元，县级财政补助36万元。 </w:t>
      </w:r>
    </w:p>
    <w:p w14:paraId="115D6F8E"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3.开展产销对接活动，创建2个特色品牌，建设1个线下销售网点，发展电子交易。总投资100万元，其中企业自筹50万元，申请中央财政补助30万元，县级财政补助20万元。 </w:t>
      </w:r>
    </w:p>
    <w:p w14:paraId="488D4A3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4.引进加工生产线、建立农产品溯源监控体系。总投资80万元，其中企业自筹40万元，申请中央财政补助24万元，县级财政补助16万元。 </w:t>
      </w:r>
    </w:p>
    <w:p w14:paraId="6F65F414"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5.创建科研育种区，做好土壤、肥料、优质谷种的试种和检测。总投资260万元，其中企业自筹130万元，申请中央财政补助78万元，县级财政补助52万元。 </w:t>
      </w:r>
    </w:p>
    <w:p w14:paraId="35518F03"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6.建立2个综合服务基地，打造2个粮食产业示范村，提供市场信息、技术下乡、职业农民培训、特色农产品线下体验店、销售及电商销售等服务。总投资680万元，其中企业自筹340万元，申请中央财政补助204万元，县级财政补助136万元。 </w:t>
      </w:r>
    </w:p>
    <w:p w14:paraId="14E847B9"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五、时间进度 </w:t>
      </w:r>
    </w:p>
    <w:p w14:paraId="2E1451AF"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（一）宣传发动（2018年2月—3月）。召开专题会议，研究部署“中国好粮油”示范工程有关工作。通过各种媒体广泛宣传发动。 </w:t>
      </w:r>
    </w:p>
    <w:p w14:paraId="5C8E795E"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（二）组织实施（2018年3月—2020年7月）。根据实施方案的要求，在武乡县“中国好粮油”行动领导小组的统一领导和协调下，由相关职能部门具体组织实施。 </w:t>
      </w:r>
    </w:p>
    <w:p w14:paraId="60D30056"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1.2018年3月-2018年5月，组织实施县粮食质量监督检验工程，配置安装调试检验仪器设备，确保在2018年秋粮收购前投入使用。 </w:t>
      </w:r>
    </w:p>
    <w:p w14:paraId="19C0C061"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lastRenderedPageBreak/>
        <w:t>2.2018年6月—2018年11月，引导优质粮食生产龙头企业和经营主体入网开展优质小米购销交易，加大广告宣传力度，逐步扩大优质产品市场占有率，努力提升品牌的知名度。 </w:t>
      </w:r>
    </w:p>
    <w:p w14:paraId="12A11A9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3.2018年12月—2019年10月，完成放心粮油示范加工企业的生产加工设备、收储设施等技术升级改造，提升加工产能和产品品质。 </w:t>
      </w:r>
    </w:p>
    <w:p w14:paraId="4986B68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4.2019年10月—2020年7月，建设一批收储能力辐射周边乡镇的中心粮库，采用低温绿色充氮储存新技术收储仓房，满足优质小米分类收储、销售要求。 </w:t>
      </w:r>
    </w:p>
    <w:p w14:paraId="50161DEE"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（三）总结完善（2020年8月—2020年12月）。根据申报“中国好粮油”行动计划示范工程督查验收及绩效评价等情况，对“中国好粮油”示范工程进行全面总结，不断完善工作机制和提高示范效应。 </w:t>
      </w:r>
    </w:p>
    <w:p w14:paraId="7B872413"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六、预期效果 </w:t>
      </w:r>
    </w:p>
    <w:p w14:paraId="0A7FED55"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一）生态效益。发展绿色优质粮油产品，严格执行有机、绿色、无公害食品操作规程，增施有机肥和农家肥，推进生物防治技术，农业面源污染得到有效防治，有利于保护粮食主产区的生态环境，具有显著的生态效益。 </w:t>
      </w:r>
    </w:p>
    <w:p w14:paraId="68C0963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二）社会效益。农业产业化龙头企业，必须有稳定的生产基地作依托，形成“公司+基地+农户”的农业产业化经营模式。通过龙头企业的带动，促进我县上司乡、韩北乡和丰州镇优良谷子种植向规模化、高效化、产业化方向发展，从而带动全县农业增效、农民增收。 </w:t>
      </w:r>
    </w:p>
    <w:p w14:paraId="3F50A37D"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（三）示范效益。通过本项目的示范、引导和辐射，可在更大程度上促进产业结构调整，推进当地优质小米种植产业化进程，有力推动当地的经济发展，巩固脱贫成效。 </w:t>
      </w:r>
    </w:p>
    <w:p w14:paraId="139CB985"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七、保障措施 </w:t>
      </w:r>
    </w:p>
    <w:p w14:paraId="7E85E540"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（一）加强组织领导</w:t>
      </w:r>
      <w:r w:rsidRPr="004D600E">
        <w:rPr>
          <w:rFonts w:ascii="宋体" w:eastAsia="宋体" w:hAnsi="宋体" w:cs="宋体"/>
          <w:b/>
          <w:bCs/>
          <w:kern w:val="0"/>
          <w:sz w:val="24"/>
          <w:szCs w:val="24"/>
        </w:rPr>
        <w:t>。</w:t>
      </w:r>
      <w:r w:rsidRPr="004D600E">
        <w:rPr>
          <w:rFonts w:ascii="宋体" w:eastAsia="宋体" w:hAnsi="宋体" w:cs="宋体"/>
          <w:kern w:val="0"/>
          <w:sz w:val="24"/>
          <w:szCs w:val="24"/>
        </w:rPr>
        <w:t>把该项工程纳入我县整体发展规划，县政府成立“中国好粮油”行动建设领导小组，组长由分管副县长担任，成员由发改、农委、财政、环保、水利、国土、市质等部门负责人组成，领导组下设办公室，办公室设在</w:t>
      </w:r>
      <w:proofErr w:type="gramStart"/>
      <w:r w:rsidRPr="004D600E">
        <w:rPr>
          <w:rFonts w:ascii="宋体" w:eastAsia="宋体" w:hAnsi="宋体" w:cs="宋体"/>
          <w:kern w:val="0"/>
          <w:sz w:val="24"/>
          <w:szCs w:val="24"/>
        </w:rPr>
        <w:t>县发改局</w:t>
      </w:r>
      <w:proofErr w:type="gramEnd"/>
      <w:r w:rsidRPr="004D600E">
        <w:rPr>
          <w:rFonts w:ascii="宋体" w:eastAsia="宋体" w:hAnsi="宋体" w:cs="宋体"/>
          <w:kern w:val="0"/>
          <w:sz w:val="24"/>
          <w:szCs w:val="24"/>
        </w:rPr>
        <w:t>，具体负责“中国好粮油”工作的推进落实。 </w:t>
      </w:r>
    </w:p>
    <w:p w14:paraId="71B8C275"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（二）落实部门责任</w:t>
      </w:r>
      <w:r w:rsidRPr="004D600E">
        <w:rPr>
          <w:rFonts w:ascii="宋体" w:eastAsia="宋体" w:hAnsi="宋体" w:cs="宋体"/>
          <w:b/>
          <w:bCs/>
          <w:kern w:val="0"/>
          <w:sz w:val="24"/>
          <w:szCs w:val="24"/>
        </w:rPr>
        <w:t>。</w:t>
      </w:r>
      <w:r w:rsidRPr="004D600E">
        <w:rPr>
          <w:rFonts w:ascii="宋体" w:eastAsia="宋体" w:hAnsi="宋体" w:cs="宋体"/>
          <w:kern w:val="0"/>
          <w:sz w:val="24"/>
          <w:szCs w:val="24"/>
        </w:rPr>
        <w:t>明确各有关部门工作责任，建立一把手负责制，进一步明确粮食种植、粮食收储、武乡小米品牌打造及市场监管和资金保障等相关环节任务分工。 </w:t>
      </w:r>
    </w:p>
    <w:p w14:paraId="5808E63B"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（三）加强沟通协调</w:t>
      </w:r>
      <w:r w:rsidRPr="004D600E">
        <w:rPr>
          <w:rFonts w:ascii="宋体" w:eastAsia="宋体" w:hAnsi="宋体" w:cs="宋体"/>
          <w:b/>
          <w:bCs/>
          <w:kern w:val="0"/>
          <w:sz w:val="24"/>
          <w:szCs w:val="24"/>
        </w:rPr>
        <w:t>。</w:t>
      </w:r>
      <w:r w:rsidRPr="004D600E">
        <w:rPr>
          <w:rFonts w:ascii="宋体" w:eastAsia="宋体" w:hAnsi="宋体" w:cs="宋体"/>
          <w:kern w:val="0"/>
          <w:sz w:val="24"/>
          <w:szCs w:val="24"/>
        </w:rPr>
        <w:t>要加强沟通协调，密切配合，通力合作，形成政府统筹、部门联动、上下协同的工作格局。 </w:t>
      </w:r>
    </w:p>
    <w:p w14:paraId="68755CA4"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lastRenderedPageBreak/>
        <w:t>定期召开项目推进会，及时了解项目进展情况，发现、解决项目实施中出现的各类问题。 </w:t>
      </w:r>
    </w:p>
    <w:p w14:paraId="796FFF67"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 xml:space="preserve">　</w:t>
      </w:r>
      <w:r w:rsidRPr="004D600E">
        <w:rPr>
          <w:rFonts w:ascii="宋体" w:eastAsia="宋体" w:hAnsi="宋体" w:cs="宋体"/>
          <w:b/>
          <w:bCs/>
          <w:kern w:val="0"/>
          <w:sz w:val="24"/>
          <w:szCs w:val="24"/>
        </w:rPr>
        <w:t xml:space="preserve">　</w:t>
      </w:r>
      <w:r w:rsidRPr="004D600E">
        <w:rPr>
          <w:rFonts w:ascii="宋体" w:eastAsia="宋体" w:hAnsi="宋体" w:cs="宋体"/>
          <w:kern w:val="0"/>
          <w:sz w:val="24"/>
          <w:szCs w:val="24"/>
        </w:rPr>
        <w:t>（四）强化科技支撑</w:t>
      </w:r>
      <w:r w:rsidRPr="004D600E">
        <w:rPr>
          <w:rFonts w:ascii="宋体" w:eastAsia="宋体" w:hAnsi="宋体" w:cs="宋体"/>
          <w:b/>
          <w:bCs/>
          <w:kern w:val="0"/>
          <w:sz w:val="24"/>
          <w:szCs w:val="24"/>
        </w:rPr>
        <w:t>。</w:t>
      </w:r>
      <w:r w:rsidRPr="004D600E">
        <w:rPr>
          <w:rFonts w:ascii="宋体" w:eastAsia="宋体" w:hAnsi="宋体" w:cs="宋体"/>
          <w:kern w:val="0"/>
          <w:sz w:val="24"/>
          <w:szCs w:val="24"/>
        </w:rPr>
        <w:t>联合相关科研机构、院校院所建立科技指导服务体系，指导各类生产经营主体规范组织生产。积极培育我县优质小米品牌，增强市场竞争力，提升整体优质粮油品质。 </w:t>
      </w:r>
    </w:p>
    <w:p w14:paraId="58A60DF9" w14:textId="77777777" w:rsidR="004D600E" w:rsidRPr="004D600E" w:rsidRDefault="004D600E" w:rsidP="004D600E">
      <w:pPr>
        <w:widowControl/>
        <w:shd w:val="clear" w:color="auto" w:fill="FFFFFF"/>
        <w:spacing w:before="100" w:beforeAutospacing="1" w:after="100" w:afterAutospacing="1"/>
        <w:jc w:val="left"/>
        <w:rPr>
          <w:rFonts w:ascii="宋体" w:eastAsia="宋体" w:hAnsi="宋体" w:cs="宋体"/>
          <w:kern w:val="0"/>
          <w:sz w:val="24"/>
          <w:szCs w:val="24"/>
        </w:rPr>
      </w:pPr>
      <w:r w:rsidRPr="004D600E">
        <w:rPr>
          <w:rFonts w:ascii="宋体" w:eastAsia="宋体" w:hAnsi="宋体" w:cs="宋体"/>
          <w:kern w:val="0"/>
          <w:sz w:val="24"/>
          <w:szCs w:val="24"/>
        </w:rPr>
        <w:t>（五）搞好舆论宣传</w:t>
      </w:r>
      <w:r w:rsidRPr="004D600E">
        <w:rPr>
          <w:rFonts w:ascii="宋体" w:eastAsia="宋体" w:hAnsi="宋体" w:cs="宋体"/>
          <w:b/>
          <w:bCs/>
          <w:kern w:val="0"/>
          <w:sz w:val="24"/>
          <w:szCs w:val="24"/>
        </w:rPr>
        <w:t>。</w:t>
      </w:r>
      <w:r w:rsidRPr="004D600E">
        <w:rPr>
          <w:rFonts w:ascii="宋体" w:eastAsia="宋体" w:hAnsi="宋体" w:cs="宋体"/>
          <w:kern w:val="0"/>
          <w:sz w:val="24"/>
          <w:szCs w:val="24"/>
        </w:rPr>
        <w:t>加大宣传力度，通过报纸、电视、广播、网络等多种媒体广泛宣传实施“山西好粮油”行动工程的重要意义，提高社会各界对“山西好粮油”工程建设的认知度，加强舆论监督，使“山西好粮油”行动工程得民心、顺民意、惠民生，真正成为百姓得实惠的民心工程。 </w:t>
      </w:r>
    </w:p>
    <w:p w14:paraId="5D83DA47" w14:textId="77777777" w:rsidR="00724110" w:rsidRPr="004D600E" w:rsidRDefault="00724110">
      <w:bookmarkStart w:id="0" w:name="_GoBack"/>
      <w:bookmarkEnd w:id="0"/>
    </w:p>
    <w:sectPr w:rsidR="00724110" w:rsidRPr="004D6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26"/>
    <w:rsid w:val="004D600E"/>
    <w:rsid w:val="00595926"/>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07716-D72F-456E-8605-5547A0E6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60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442160">
      <w:bodyDiv w:val="1"/>
      <w:marLeft w:val="0"/>
      <w:marRight w:val="0"/>
      <w:marTop w:val="0"/>
      <w:marBottom w:val="0"/>
      <w:divBdr>
        <w:top w:val="none" w:sz="0" w:space="0" w:color="auto"/>
        <w:left w:val="none" w:sz="0" w:space="0" w:color="auto"/>
        <w:bottom w:val="none" w:sz="0" w:space="0" w:color="auto"/>
        <w:right w:val="none" w:sz="0" w:space="0" w:color="auto"/>
      </w:divBdr>
      <w:divsChild>
        <w:div w:id="1817145769">
          <w:marLeft w:val="0"/>
          <w:marRight w:val="0"/>
          <w:marTop w:val="0"/>
          <w:marBottom w:val="0"/>
          <w:divBdr>
            <w:top w:val="none" w:sz="0" w:space="0" w:color="auto"/>
            <w:left w:val="single" w:sz="6" w:space="0" w:color="F6F6F6"/>
            <w:bottom w:val="single" w:sz="6" w:space="0" w:color="F6F6F6"/>
            <w:right w:val="single" w:sz="6" w:space="0" w:color="F6F6F6"/>
          </w:divBdr>
          <w:divsChild>
            <w:div w:id="437068502">
              <w:marLeft w:val="0"/>
              <w:marRight w:val="0"/>
              <w:marTop w:val="0"/>
              <w:marBottom w:val="0"/>
              <w:divBdr>
                <w:top w:val="none" w:sz="0" w:space="0" w:color="auto"/>
                <w:left w:val="none" w:sz="0" w:space="0" w:color="auto"/>
                <w:bottom w:val="none" w:sz="0" w:space="0" w:color="auto"/>
                <w:right w:val="none" w:sz="0" w:space="0" w:color="auto"/>
              </w:divBdr>
              <w:divsChild>
                <w:div w:id="277612508">
                  <w:marLeft w:val="0"/>
                  <w:marRight w:val="0"/>
                  <w:marTop w:val="0"/>
                  <w:marBottom w:val="0"/>
                  <w:divBdr>
                    <w:top w:val="none" w:sz="0" w:space="0" w:color="auto"/>
                    <w:left w:val="none" w:sz="0" w:space="0" w:color="auto"/>
                    <w:bottom w:val="none" w:sz="0" w:space="0" w:color="auto"/>
                    <w:right w:val="none" w:sz="0" w:space="0" w:color="auto"/>
                  </w:divBdr>
                  <w:divsChild>
                    <w:div w:id="1095244534">
                      <w:marLeft w:val="0"/>
                      <w:marRight w:val="0"/>
                      <w:marTop w:val="0"/>
                      <w:marBottom w:val="0"/>
                      <w:divBdr>
                        <w:top w:val="single" w:sz="6" w:space="0" w:color="CCCCCC"/>
                        <w:left w:val="single" w:sz="6" w:space="0" w:color="CCCCCC"/>
                        <w:bottom w:val="single" w:sz="6" w:space="0" w:color="CCCCCC"/>
                        <w:right w:val="single" w:sz="6" w:space="0" w:color="CCCCCC"/>
                      </w:divBdr>
                    </w:div>
                    <w:div w:id="1866942219">
                      <w:marLeft w:val="0"/>
                      <w:marRight w:val="0"/>
                      <w:marTop w:val="0"/>
                      <w:marBottom w:val="0"/>
                      <w:divBdr>
                        <w:top w:val="none" w:sz="0" w:space="0" w:color="auto"/>
                        <w:left w:val="none" w:sz="0" w:space="0" w:color="auto"/>
                        <w:bottom w:val="none" w:sz="0" w:space="0" w:color="auto"/>
                        <w:right w:val="none" w:sz="0" w:space="0" w:color="auto"/>
                      </w:divBdr>
                    </w:div>
                    <w:div w:id="934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2018-05-10T06:33:00Z</dcterms:created>
  <dcterms:modified xsi:type="dcterms:W3CDTF">2018-05-10T06:34:00Z</dcterms:modified>
</cp:coreProperties>
</file>