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77C" w:rsidRPr="001D077C" w:rsidRDefault="001D077C" w:rsidP="001D077C">
      <w:pPr>
        <w:widowControl/>
        <w:jc w:val="center"/>
        <w:rPr>
          <w:rFonts w:ascii="仿宋_GB2312" w:eastAsia="仿宋_GB2312" w:hAnsi="Simsun" w:cs="宋体"/>
          <w:color w:val="333333"/>
          <w:kern w:val="0"/>
          <w:sz w:val="32"/>
          <w:szCs w:val="32"/>
        </w:rPr>
      </w:pPr>
      <w:bookmarkStart w:id="0" w:name="_GoBack"/>
      <w:r w:rsidRPr="001D077C">
        <w:rPr>
          <w:rFonts w:ascii="仿宋_GB2312" w:eastAsia="仿宋_GB2312" w:hAnsi="Simsun" w:cs="宋体" w:hint="eastAsia"/>
          <w:color w:val="333333"/>
          <w:kern w:val="0"/>
          <w:sz w:val="32"/>
          <w:szCs w:val="32"/>
        </w:rPr>
        <w:t>龙子湖区社会养老服务体系建设实施办法</w:t>
      </w:r>
    </w:p>
    <w:bookmarkEnd w:id="0"/>
    <w:p w:rsidR="001D077C" w:rsidRPr="001D077C" w:rsidRDefault="001D077C" w:rsidP="00596607">
      <w:pPr>
        <w:pStyle w:val="p"/>
        <w:ind w:firstLine="420"/>
        <w:jc w:val="both"/>
        <w:rPr>
          <w:rFonts w:ascii="仿宋_GB2312" w:eastAsia="仿宋_GB2312" w:hAnsi="Simsun"/>
          <w:color w:val="333333"/>
          <w:sz w:val="32"/>
          <w:szCs w:val="32"/>
        </w:rPr>
      </w:pPr>
    </w:p>
    <w:p w:rsidR="00596607" w:rsidRDefault="00596607" w:rsidP="00596607">
      <w:pPr>
        <w:pStyle w:val="p"/>
        <w:ind w:firstLine="420"/>
        <w:jc w:val="both"/>
        <w:rPr>
          <w:rFonts w:ascii="Simsun" w:hAnsi="Simsun" w:hint="eastAsia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333333"/>
          <w:sz w:val="32"/>
          <w:szCs w:val="32"/>
        </w:rPr>
        <w:t>为贯彻落实《老年人权益保障法》、《国务院关于加快发展养老服务业的若干意见》（国发〔2013〕35号）、《安徽省实施〈中华人民共和国老年人权益保障法〉办法》、《安徽省人民政府关于加快发展养老服务业的实施意见》（皖政〔2014〕60号）和《安徽省人民政府关于2017年实施33项民生工程的通知》（皖政〔2017〕10号），推进我区社会养老服务体系建设，结合我区实际，制定本实施办法。</w:t>
      </w:r>
    </w:p>
    <w:p w:rsidR="00596607" w:rsidRDefault="00596607" w:rsidP="00596607">
      <w:pPr>
        <w:pStyle w:val="p"/>
        <w:ind w:firstLine="420"/>
        <w:jc w:val="both"/>
        <w:rPr>
          <w:rFonts w:ascii="Simsun" w:hAnsi="Simsun" w:hint="eastAsia"/>
          <w:color w:val="000000"/>
          <w:sz w:val="21"/>
          <w:szCs w:val="21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一、指导思想</w:t>
      </w:r>
    </w:p>
    <w:p w:rsidR="00596607" w:rsidRDefault="00596607" w:rsidP="00596607">
      <w:pPr>
        <w:pStyle w:val="p"/>
        <w:ind w:firstLine="420"/>
        <w:jc w:val="both"/>
        <w:rPr>
          <w:rFonts w:ascii="Simsun" w:hAnsi="Simsun" w:hint="eastAsia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333333"/>
          <w:sz w:val="32"/>
          <w:szCs w:val="32"/>
        </w:rPr>
        <w:t>坚持以人为本的方针，优先发展居家养老服务；分类推进社区养老服务设施建设，充分发挥社区养老服务设施对居家养老的支持作用；支持社会力量兴办养老机构，推动社会办养老机构发展；建立健全政府购买养老服务制度，创新养老服务供给方式；完善全区养老机构综合责任保险制度，提升养老机构服务保障水平。</w:t>
      </w:r>
    </w:p>
    <w:p w:rsidR="00596607" w:rsidRDefault="00596607" w:rsidP="00596607">
      <w:pPr>
        <w:pStyle w:val="p"/>
        <w:ind w:firstLine="420"/>
        <w:jc w:val="both"/>
        <w:rPr>
          <w:rFonts w:ascii="Simsun" w:hAnsi="Simsun" w:hint="eastAsia"/>
          <w:color w:val="000000"/>
          <w:sz w:val="21"/>
          <w:szCs w:val="21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二、工作目标</w:t>
      </w:r>
    </w:p>
    <w:p w:rsidR="00596607" w:rsidRDefault="00596607" w:rsidP="00596607">
      <w:pPr>
        <w:pStyle w:val="p"/>
        <w:ind w:firstLine="420"/>
        <w:jc w:val="both"/>
        <w:rPr>
          <w:rFonts w:ascii="Simsun" w:hAnsi="Simsun" w:hint="eastAsia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333333"/>
          <w:sz w:val="32"/>
          <w:szCs w:val="32"/>
        </w:rPr>
        <w:t>2017年，以居家为基础、社区为依托、机构为补充、</w:t>
      </w:r>
      <w:proofErr w:type="gramStart"/>
      <w:r>
        <w:rPr>
          <w:rFonts w:ascii="仿宋_GB2312" w:eastAsia="仿宋_GB2312" w:hAnsi="Simsun" w:hint="eastAsia"/>
          <w:color w:val="333333"/>
          <w:sz w:val="32"/>
          <w:szCs w:val="32"/>
        </w:rPr>
        <w:t>医</w:t>
      </w:r>
      <w:proofErr w:type="gramEnd"/>
      <w:r>
        <w:rPr>
          <w:rFonts w:ascii="仿宋_GB2312" w:eastAsia="仿宋_GB2312" w:hAnsi="Simsun" w:hint="eastAsia"/>
          <w:color w:val="333333"/>
          <w:sz w:val="32"/>
          <w:szCs w:val="32"/>
        </w:rPr>
        <w:t>养相结合的养老服务体系进一步建立健全。</w:t>
      </w:r>
    </w:p>
    <w:p w:rsidR="00596607" w:rsidRDefault="00596607" w:rsidP="00596607">
      <w:pPr>
        <w:pStyle w:val="p"/>
        <w:ind w:firstLine="420"/>
        <w:jc w:val="both"/>
        <w:rPr>
          <w:rFonts w:ascii="Simsun" w:hAnsi="Simsun" w:hint="eastAsia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333333"/>
          <w:sz w:val="32"/>
          <w:szCs w:val="32"/>
        </w:rPr>
        <w:t>（一）老年人高龄津贴和低收入老年人养老服务补贴制度覆盖所有乡街，其中高龄津贴惠及所有80周岁及以上老年</w:t>
      </w:r>
      <w:r>
        <w:rPr>
          <w:rFonts w:ascii="仿宋_GB2312" w:eastAsia="仿宋_GB2312" w:hAnsi="Simsun" w:hint="eastAsia"/>
          <w:color w:val="333333"/>
          <w:sz w:val="32"/>
          <w:szCs w:val="32"/>
        </w:rPr>
        <w:lastRenderedPageBreak/>
        <w:t>人，对经济困难的高龄、失能等老年人，养老服务补贴覆盖面不低于30%（其中失能失智老年人覆盖面不低于60%）。</w:t>
      </w:r>
    </w:p>
    <w:p w:rsidR="00596607" w:rsidRDefault="00596607" w:rsidP="00596607">
      <w:pPr>
        <w:pStyle w:val="p"/>
        <w:ind w:firstLine="420"/>
        <w:jc w:val="both"/>
        <w:rPr>
          <w:rFonts w:ascii="Simsun" w:hAnsi="Simsun" w:hint="eastAsia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333333"/>
          <w:sz w:val="32"/>
          <w:szCs w:val="32"/>
        </w:rPr>
        <w:t>（二）城区社区养老服务设施不低于每百户15平方米，农村社区养老服务设施覆盖率达到60%。</w:t>
      </w:r>
    </w:p>
    <w:p w:rsidR="00596607" w:rsidRDefault="00596607" w:rsidP="00596607">
      <w:pPr>
        <w:pStyle w:val="p"/>
        <w:ind w:firstLine="420"/>
        <w:jc w:val="both"/>
        <w:rPr>
          <w:rFonts w:ascii="Simsun" w:hAnsi="Simsun" w:hint="eastAsia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333333"/>
          <w:sz w:val="32"/>
          <w:szCs w:val="32"/>
        </w:rPr>
        <w:t>（三）全区养老机构入住率不低于60%，其中失能老年人入住率不低于20%；全区养老机构其中护理型床位比例达到不低于20%以上，150张床位以上养老机构内设医务室或护理</w:t>
      </w:r>
      <w:proofErr w:type="gramStart"/>
      <w:r>
        <w:rPr>
          <w:rFonts w:ascii="仿宋_GB2312" w:eastAsia="仿宋_GB2312" w:hAnsi="Simsun" w:hint="eastAsia"/>
          <w:color w:val="333333"/>
          <w:sz w:val="32"/>
          <w:szCs w:val="32"/>
        </w:rPr>
        <w:t>站比例</w:t>
      </w:r>
      <w:proofErr w:type="gramEnd"/>
      <w:r>
        <w:rPr>
          <w:rFonts w:ascii="仿宋_GB2312" w:eastAsia="仿宋_GB2312" w:hAnsi="Simsun" w:hint="eastAsia"/>
          <w:color w:val="333333"/>
          <w:sz w:val="32"/>
          <w:szCs w:val="32"/>
        </w:rPr>
        <w:t>达到70%以上。</w:t>
      </w:r>
    </w:p>
    <w:p w:rsidR="00596607" w:rsidRDefault="00596607" w:rsidP="00596607">
      <w:pPr>
        <w:pStyle w:val="p"/>
        <w:ind w:firstLine="420"/>
        <w:jc w:val="both"/>
        <w:rPr>
          <w:rFonts w:ascii="Simsun" w:hAnsi="Simsun" w:hint="eastAsia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333333"/>
          <w:sz w:val="32"/>
          <w:szCs w:val="32"/>
        </w:rPr>
        <w:t>（四）全区养老机构综合责任保险制度覆盖率达到80%以上；公办养老机构改革改制覆盖率达到20%。</w:t>
      </w:r>
    </w:p>
    <w:p w:rsidR="00596607" w:rsidRDefault="00596607" w:rsidP="00596607">
      <w:pPr>
        <w:pStyle w:val="p"/>
        <w:ind w:firstLine="420"/>
        <w:jc w:val="both"/>
        <w:rPr>
          <w:rFonts w:ascii="Simsun" w:hAnsi="Simsun" w:hint="eastAsia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333333"/>
          <w:sz w:val="32"/>
          <w:szCs w:val="32"/>
        </w:rPr>
        <w:t>(五)继续推进“银龄安康行动”。</w:t>
      </w:r>
    </w:p>
    <w:p w:rsidR="00596607" w:rsidRDefault="00596607" w:rsidP="00596607">
      <w:pPr>
        <w:pStyle w:val="p"/>
        <w:ind w:firstLine="420"/>
        <w:jc w:val="both"/>
        <w:rPr>
          <w:rFonts w:ascii="Simsun" w:hAnsi="Simsun" w:hint="eastAsia"/>
          <w:color w:val="000000"/>
          <w:sz w:val="21"/>
          <w:szCs w:val="21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三、实施内容</w:t>
      </w:r>
    </w:p>
    <w:p w:rsidR="00596607" w:rsidRDefault="00596607" w:rsidP="00596607">
      <w:pPr>
        <w:pStyle w:val="p"/>
        <w:ind w:firstLine="420"/>
        <w:jc w:val="both"/>
        <w:rPr>
          <w:rFonts w:ascii="Simsun" w:hAnsi="Simsun" w:hint="eastAsia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333333"/>
          <w:sz w:val="32"/>
          <w:szCs w:val="32"/>
        </w:rPr>
        <w:t>（一）居家养老服务</w:t>
      </w:r>
    </w:p>
    <w:p w:rsidR="00596607" w:rsidRDefault="00596607" w:rsidP="00596607">
      <w:pPr>
        <w:pStyle w:val="p"/>
        <w:ind w:firstLine="420"/>
        <w:jc w:val="both"/>
        <w:rPr>
          <w:rFonts w:ascii="Simsun" w:hAnsi="Simsun" w:hint="eastAsia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333333"/>
          <w:sz w:val="32"/>
          <w:szCs w:val="32"/>
        </w:rPr>
        <w:t>1、补助范围。对本区户籍80周岁以上老年人给予高龄津贴；对本区户籍年满70周岁以上特困供养人员、纳入最低生活保障范围以及70周岁以上、生活长期不能自理、经济困难的“失独”家庭成员的老年人，根据其困难程度和失能程度给予居家养老服务补贴。</w:t>
      </w:r>
    </w:p>
    <w:p w:rsidR="00596607" w:rsidRDefault="00596607" w:rsidP="00596607">
      <w:pPr>
        <w:pStyle w:val="p"/>
        <w:ind w:firstLine="420"/>
        <w:jc w:val="both"/>
        <w:rPr>
          <w:rFonts w:ascii="Simsun" w:hAnsi="Simsun" w:hint="eastAsia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333333"/>
          <w:sz w:val="32"/>
          <w:szCs w:val="32"/>
        </w:rPr>
        <w:t>2、补助方式和标准。高龄津贴标准：80周岁至99周岁老年人，每人每年360元，其中特困供养人员、</w:t>
      </w:r>
      <w:proofErr w:type="gramStart"/>
      <w:r>
        <w:rPr>
          <w:rFonts w:ascii="仿宋_GB2312" w:eastAsia="仿宋_GB2312" w:hAnsi="Simsun" w:hint="eastAsia"/>
          <w:color w:val="333333"/>
          <w:sz w:val="32"/>
          <w:szCs w:val="32"/>
        </w:rPr>
        <w:t>享受低保待遇</w:t>
      </w:r>
      <w:proofErr w:type="gramEnd"/>
      <w:r>
        <w:rPr>
          <w:rFonts w:ascii="仿宋_GB2312" w:eastAsia="仿宋_GB2312" w:hAnsi="Simsun" w:hint="eastAsia"/>
          <w:color w:val="333333"/>
          <w:sz w:val="32"/>
          <w:szCs w:val="32"/>
        </w:rPr>
        <w:t>对象每人每年720元。当年重阳节前一次性发放。100周岁以上（含）老年人，每人每月600元。按月发放到人。居家</w:t>
      </w:r>
      <w:r>
        <w:rPr>
          <w:rFonts w:ascii="仿宋_GB2312" w:eastAsia="仿宋_GB2312" w:hAnsi="Simsun" w:hint="eastAsia"/>
          <w:color w:val="333333"/>
          <w:sz w:val="32"/>
          <w:szCs w:val="32"/>
        </w:rPr>
        <w:lastRenderedPageBreak/>
        <w:t>养老服务补贴每人每月100元，对其中的失能、失智老年人，按照其中轻、中、重度失能失智程度，补贴标准分别上浮50%、100%、200%。按月发放到个人，也可采取政府购买服务方式提供。所需资金，由市、区财政按3:7比例承担，市本级</w:t>
      </w:r>
      <w:proofErr w:type="gramStart"/>
      <w:r>
        <w:rPr>
          <w:rFonts w:ascii="仿宋_GB2312" w:eastAsia="仿宋_GB2312" w:hAnsi="Simsun" w:hint="eastAsia"/>
          <w:color w:val="333333"/>
          <w:sz w:val="32"/>
          <w:szCs w:val="32"/>
        </w:rPr>
        <w:t>从福彩公益金</w:t>
      </w:r>
      <w:proofErr w:type="gramEnd"/>
      <w:r>
        <w:rPr>
          <w:rFonts w:ascii="仿宋_GB2312" w:eastAsia="仿宋_GB2312" w:hAnsi="Simsun" w:hint="eastAsia"/>
          <w:color w:val="333333"/>
          <w:sz w:val="32"/>
          <w:szCs w:val="32"/>
        </w:rPr>
        <w:t>中安排。</w:t>
      </w:r>
    </w:p>
    <w:p w:rsidR="00596607" w:rsidRDefault="00596607" w:rsidP="00596607">
      <w:pPr>
        <w:pStyle w:val="p"/>
        <w:ind w:firstLine="420"/>
        <w:jc w:val="both"/>
        <w:rPr>
          <w:rFonts w:ascii="Simsun" w:hAnsi="Simsun" w:hint="eastAsia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333333"/>
          <w:sz w:val="32"/>
          <w:szCs w:val="32"/>
        </w:rPr>
        <w:t>（二）社区养老服务</w:t>
      </w:r>
    </w:p>
    <w:p w:rsidR="00596607" w:rsidRDefault="00596607" w:rsidP="00596607">
      <w:pPr>
        <w:pStyle w:val="p"/>
        <w:ind w:firstLine="420"/>
        <w:jc w:val="both"/>
        <w:rPr>
          <w:rFonts w:ascii="Simsun" w:hAnsi="Simsun" w:hint="eastAsia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333333"/>
          <w:sz w:val="32"/>
          <w:szCs w:val="32"/>
        </w:rPr>
        <w:t>1、补助范围。符合《安徽省社区养老服务机构建设指导意见》所列各项要求的县级居家养老指导中心、街道（乡镇）居家养老服务中心、社区老年人日间照料（配餐、活动）中心。纳入养老机构管理的社区嵌入式中小型养老机构，按照养老机构相关扶持政策执行。</w:t>
      </w:r>
    </w:p>
    <w:p w:rsidR="00596607" w:rsidRDefault="00596607" w:rsidP="00596607">
      <w:pPr>
        <w:pStyle w:val="p"/>
        <w:ind w:firstLine="420"/>
        <w:jc w:val="both"/>
        <w:rPr>
          <w:rFonts w:ascii="Simsun" w:hAnsi="Simsun" w:hint="eastAsia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333333"/>
          <w:sz w:val="32"/>
          <w:szCs w:val="32"/>
        </w:rPr>
        <w:t>2、补助方式和标准。符合条件的各类社区养老服务设施，给予一次性建设补助，给予每张床位（按照实际建筑面积，每5平方米折算成一张床位）一次性建设补助500元。补助所需资金由区财政承担。各级政府依托社区养老服务设施向社会组织、企业购买社区居家养老服务的，给予政府购买服务补助。按照服务人数、服务内容等，通过政府购买服务方式给予日常运营补贴，补助所需资金由区财政承担。社区养老服务机构投入正常使用后，对入住老人（本区户籍）按照社会办养老服务机构运营补助办法给予每人每月120元运营补助。补助所需资金由区财政承担。</w:t>
      </w:r>
    </w:p>
    <w:p w:rsidR="00596607" w:rsidRDefault="00596607" w:rsidP="00596607">
      <w:pPr>
        <w:pStyle w:val="p"/>
        <w:ind w:firstLine="420"/>
        <w:jc w:val="both"/>
        <w:rPr>
          <w:rFonts w:ascii="Simsun" w:hAnsi="Simsun" w:hint="eastAsia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333333"/>
          <w:sz w:val="32"/>
          <w:szCs w:val="32"/>
        </w:rPr>
        <w:t>（三）支持社会力量兴办养老机构</w:t>
      </w:r>
    </w:p>
    <w:p w:rsidR="00596607" w:rsidRDefault="00596607" w:rsidP="00596607">
      <w:pPr>
        <w:pStyle w:val="p"/>
        <w:ind w:firstLine="420"/>
        <w:jc w:val="both"/>
        <w:rPr>
          <w:rFonts w:ascii="Simsun" w:hAnsi="Simsun" w:hint="eastAsia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333333"/>
          <w:sz w:val="32"/>
          <w:szCs w:val="32"/>
        </w:rPr>
        <w:lastRenderedPageBreak/>
        <w:t>1、补助范围。符合《安徽省社会办养老机构建设指导意见（试行）》所列各项要求，由企事业单位、集体组织、社会组织、慈善机构及个人等社会力量，以独资、合资、合作等形式兴办(含公建民营养老机构及公办养老机构改革改制后成立的法人机构)，具备独立法人资格，并依法取得《安徽省养老机构设立许可证》的各类养老机构。</w:t>
      </w:r>
    </w:p>
    <w:p w:rsidR="00596607" w:rsidRDefault="00596607" w:rsidP="00596607">
      <w:pPr>
        <w:pStyle w:val="p"/>
        <w:ind w:firstLine="420"/>
        <w:jc w:val="both"/>
        <w:rPr>
          <w:rFonts w:ascii="Simsun" w:hAnsi="Simsun" w:hint="eastAsia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333333"/>
          <w:sz w:val="32"/>
          <w:szCs w:val="32"/>
        </w:rPr>
        <w:t>医疗机构举办的具有独立法人地位的养老机构，享受本办法规定的扶持政策。既符合《老年养护院建设标准（建标144-2010）》，又符合《护理院基本标准（2011版）》、《安宁疗护中心基本标准和管理规范（2017版，试行）》，且获得“医疗机构执业许可证”的护理院、</w:t>
      </w:r>
      <w:proofErr w:type="gramStart"/>
      <w:r>
        <w:rPr>
          <w:rFonts w:ascii="仿宋_GB2312" w:eastAsia="仿宋_GB2312" w:hAnsi="Simsun" w:hint="eastAsia"/>
          <w:color w:val="333333"/>
          <w:sz w:val="32"/>
          <w:szCs w:val="32"/>
        </w:rPr>
        <w:t>安宁疗护中心</w:t>
      </w:r>
      <w:proofErr w:type="gramEnd"/>
      <w:r>
        <w:rPr>
          <w:rFonts w:ascii="仿宋_GB2312" w:eastAsia="仿宋_GB2312" w:hAnsi="Simsun" w:hint="eastAsia"/>
          <w:color w:val="333333"/>
          <w:sz w:val="32"/>
          <w:szCs w:val="32"/>
        </w:rPr>
        <w:t>，可实行“一个机构、两块牌子”，依法申请并取得《养老机构设立许可证》后，享受本办法规定的扶持政策。</w:t>
      </w:r>
    </w:p>
    <w:p w:rsidR="00596607" w:rsidRDefault="00596607" w:rsidP="00596607">
      <w:pPr>
        <w:pStyle w:val="p"/>
        <w:ind w:firstLine="420"/>
        <w:jc w:val="both"/>
        <w:rPr>
          <w:rFonts w:ascii="Simsun" w:hAnsi="Simsun" w:hint="eastAsia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333333"/>
          <w:sz w:val="32"/>
          <w:szCs w:val="32"/>
        </w:rPr>
        <w:t>2、补助方式和标准。（1）一次性建设补贴。对符合条件的社会办养老机构，按照实际新增床位数给予一次性建设补助（一次性建设补助不包括公办养老机构、公建民营养老机构、公办养老机构改革改制后成立的法人机构、老年医疗机构、老年住宅、老年社区等）；一次性床位建设补贴1000元。（2）日常运营补贴。已建成并投入运营的社会办养老机构，根据实际入住人数（具有本区户籍）给予运营补贴；社会办养老机构运营补贴的标准按照不低于每人每月200元的标准确定，为失能失智老年人服务的，按照收住对象轻、中、重</w:t>
      </w:r>
      <w:r>
        <w:rPr>
          <w:rFonts w:ascii="仿宋_GB2312" w:eastAsia="仿宋_GB2312" w:hAnsi="Simsun" w:hint="eastAsia"/>
          <w:color w:val="333333"/>
          <w:sz w:val="32"/>
          <w:szCs w:val="32"/>
        </w:rPr>
        <w:lastRenderedPageBreak/>
        <w:t>度失能失智程度，运营补贴分别上浮50%、100%和200%以上。所需资金由市、区财政各承担50%，其中市本级资金从财政预算和福利彩票公益金中各安排50%。（3）贷款贴息补助。社会办养老机构从银行等金融机构贷款用于养老机构建设的，给予贷款贴息补助，按照同期三年</w:t>
      </w:r>
      <w:proofErr w:type="gramStart"/>
      <w:r>
        <w:rPr>
          <w:rFonts w:ascii="仿宋_GB2312" w:eastAsia="仿宋_GB2312" w:hAnsi="Simsun" w:hint="eastAsia"/>
          <w:color w:val="333333"/>
          <w:sz w:val="32"/>
          <w:szCs w:val="32"/>
        </w:rPr>
        <w:t>期贷</w:t>
      </w:r>
      <w:proofErr w:type="gramEnd"/>
      <w:r>
        <w:rPr>
          <w:rFonts w:ascii="仿宋_GB2312" w:eastAsia="仿宋_GB2312" w:hAnsi="Simsun" w:hint="eastAsia"/>
          <w:color w:val="333333"/>
          <w:sz w:val="32"/>
          <w:szCs w:val="32"/>
        </w:rPr>
        <w:t>款基本</w:t>
      </w:r>
      <w:proofErr w:type="gramStart"/>
      <w:r>
        <w:rPr>
          <w:rFonts w:ascii="仿宋_GB2312" w:eastAsia="仿宋_GB2312" w:hAnsi="Simsun" w:hint="eastAsia"/>
          <w:color w:val="333333"/>
          <w:sz w:val="32"/>
          <w:szCs w:val="32"/>
        </w:rPr>
        <w:t>准利</w:t>
      </w:r>
      <w:proofErr w:type="gramEnd"/>
      <w:r>
        <w:rPr>
          <w:rFonts w:ascii="仿宋_GB2312" w:eastAsia="仿宋_GB2312" w:hAnsi="Simsun" w:hint="eastAsia"/>
          <w:color w:val="333333"/>
          <w:sz w:val="32"/>
          <w:szCs w:val="32"/>
        </w:rPr>
        <w:t>率的30%给予补助，所需资金由财政安排。（4）购买服务补贴。依托社会办养老机构向特困供养人员、城乡低收入老人购买养老服务的，给予购买服务补贴。（5）</w:t>
      </w:r>
      <w:proofErr w:type="gramStart"/>
      <w:r>
        <w:rPr>
          <w:rFonts w:ascii="仿宋_GB2312" w:eastAsia="仿宋_GB2312" w:hAnsi="Simsun" w:hint="eastAsia"/>
          <w:color w:val="333333"/>
          <w:sz w:val="32"/>
          <w:szCs w:val="32"/>
        </w:rPr>
        <w:t>医</w:t>
      </w:r>
      <w:proofErr w:type="gramEnd"/>
      <w:r>
        <w:rPr>
          <w:rFonts w:ascii="仿宋_GB2312" w:eastAsia="仿宋_GB2312" w:hAnsi="Simsun" w:hint="eastAsia"/>
          <w:color w:val="333333"/>
          <w:sz w:val="32"/>
          <w:szCs w:val="32"/>
        </w:rPr>
        <w:t>养融合。鼓励有条件的社会办养老机构开展</w:t>
      </w:r>
      <w:proofErr w:type="gramStart"/>
      <w:r>
        <w:rPr>
          <w:rFonts w:ascii="仿宋_GB2312" w:eastAsia="仿宋_GB2312" w:hAnsi="Simsun" w:hint="eastAsia"/>
          <w:color w:val="333333"/>
          <w:sz w:val="32"/>
          <w:szCs w:val="32"/>
        </w:rPr>
        <w:t>医</w:t>
      </w:r>
      <w:proofErr w:type="gramEnd"/>
      <w:r>
        <w:rPr>
          <w:rFonts w:ascii="仿宋_GB2312" w:eastAsia="仿宋_GB2312" w:hAnsi="Simsun" w:hint="eastAsia"/>
          <w:color w:val="333333"/>
          <w:sz w:val="32"/>
          <w:szCs w:val="32"/>
        </w:rPr>
        <w:t>养结合，对社会办养老机构内设的医务室、护理站获得“医疗机构执业许可证书”的，给予一定补助。</w:t>
      </w:r>
    </w:p>
    <w:p w:rsidR="00596607" w:rsidRDefault="00596607" w:rsidP="00596607">
      <w:pPr>
        <w:pStyle w:val="p"/>
        <w:ind w:firstLine="420"/>
        <w:jc w:val="both"/>
        <w:rPr>
          <w:rFonts w:ascii="Simsun" w:hAnsi="Simsun" w:hint="eastAsia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333333"/>
          <w:sz w:val="32"/>
          <w:szCs w:val="32"/>
        </w:rPr>
        <w:t>（四）全面建立完善养老机构综合责任保险制度。</w:t>
      </w:r>
    </w:p>
    <w:p w:rsidR="00596607" w:rsidRDefault="00596607" w:rsidP="00596607">
      <w:pPr>
        <w:pStyle w:val="p"/>
        <w:ind w:firstLine="420"/>
        <w:jc w:val="both"/>
        <w:rPr>
          <w:rFonts w:ascii="Simsun" w:hAnsi="Simsun" w:hint="eastAsia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333333"/>
          <w:sz w:val="32"/>
          <w:szCs w:val="32"/>
        </w:rPr>
        <w:t>进一步建立完善全区养老机构综合责任保险制度，积极鼓励养老机构参保，实现辖区内养老机构综合责任保险全覆盖。保费、赔付标准按照省招标结果执行。区民政部门结合辖区内养老机构实际情况，制定综合责任保险实施方案。</w:t>
      </w:r>
    </w:p>
    <w:p w:rsidR="00596607" w:rsidRDefault="00596607" w:rsidP="00596607">
      <w:pPr>
        <w:pStyle w:val="p"/>
        <w:ind w:firstLine="420"/>
        <w:jc w:val="both"/>
        <w:rPr>
          <w:rFonts w:ascii="Simsun" w:hAnsi="Simsun" w:hint="eastAsia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333333"/>
          <w:sz w:val="32"/>
          <w:szCs w:val="32"/>
        </w:rPr>
        <w:t>（五）持续推进“银龄安康行动”。</w:t>
      </w:r>
    </w:p>
    <w:p w:rsidR="00596607" w:rsidRDefault="00596607" w:rsidP="00596607">
      <w:pPr>
        <w:pStyle w:val="p"/>
        <w:ind w:firstLine="420"/>
        <w:jc w:val="both"/>
        <w:rPr>
          <w:rFonts w:ascii="Simsun" w:hAnsi="Simsun" w:hint="eastAsia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333333"/>
          <w:sz w:val="32"/>
          <w:szCs w:val="32"/>
        </w:rPr>
        <w:t>为本区户籍60周岁及以上城乡“三无”人员、</w:t>
      </w:r>
      <w:proofErr w:type="gramStart"/>
      <w:r>
        <w:rPr>
          <w:rFonts w:ascii="仿宋_GB2312" w:eastAsia="仿宋_GB2312" w:hAnsi="Simsun" w:hint="eastAsia"/>
          <w:color w:val="333333"/>
          <w:sz w:val="32"/>
          <w:szCs w:val="32"/>
        </w:rPr>
        <w:t>享受低保待遇</w:t>
      </w:r>
      <w:proofErr w:type="gramEnd"/>
      <w:r>
        <w:rPr>
          <w:rFonts w:ascii="仿宋_GB2312" w:eastAsia="仿宋_GB2312" w:hAnsi="Simsun" w:hint="eastAsia"/>
          <w:color w:val="333333"/>
          <w:sz w:val="32"/>
          <w:szCs w:val="32"/>
        </w:rPr>
        <w:t>对象、重点优抚对象以及60周岁及以上、生活长期不能自理、经济困难的“失独”家庭成员购买意外伤害保险。</w:t>
      </w:r>
    </w:p>
    <w:p w:rsidR="00596607" w:rsidRDefault="00596607" w:rsidP="00596607">
      <w:pPr>
        <w:pStyle w:val="p"/>
        <w:ind w:firstLine="420"/>
        <w:jc w:val="both"/>
        <w:rPr>
          <w:rFonts w:ascii="Simsun" w:hAnsi="Simsun" w:hint="eastAsia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333333"/>
          <w:sz w:val="32"/>
          <w:szCs w:val="32"/>
        </w:rPr>
        <w:t>所需资金，由市、区财政按3︰7比例承担。市本级从福利彩票公益金中安排。</w:t>
      </w:r>
    </w:p>
    <w:p w:rsidR="00596607" w:rsidRDefault="00596607" w:rsidP="00596607">
      <w:pPr>
        <w:pStyle w:val="p"/>
        <w:ind w:firstLine="420"/>
        <w:jc w:val="both"/>
        <w:rPr>
          <w:rFonts w:ascii="Simsun" w:hAnsi="Simsun" w:hint="eastAsia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333333"/>
          <w:sz w:val="32"/>
          <w:szCs w:val="32"/>
        </w:rPr>
        <w:lastRenderedPageBreak/>
        <w:t>开展老年人意外伤害保险工作，是应对人口老龄化带来的养老、医疗等方面社会风险，推进养老服务业和现代保险服务业融合发展的客观需要。逐步建立和完善政府支持、社会捐助、个人自费投保相结合的意外伤害保险制度；要深入宣传发动，提高社会参与积极性，努力扩大参保范围，确保2017年承保覆盖面不低于60%。</w:t>
      </w:r>
    </w:p>
    <w:p w:rsidR="00596607" w:rsidRDefault="00596607" w:rsidP="00596607">
      <w:pPr>
        <w:pStyle w:val="p"/>
        <w:ind w:firstLine="420"/>
        <w:jc w:val="both"/>
        <w:rPr>
          <w:rFonts w:ascii="Simsun" w:hAnsi="Simsun" w:hint="eastAsia"/>
          <w:color w:val="000000"/>
          <w:sz w:val="21"/>
          <w:szCs w:val="21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四、资金筹措</w:t>
      </w:r>
    </w:p>
    <w:p w:rsidR="00596607" w:rsidRDefault="00596607" w:rsidP="00596607">
      <w:pPr>
        <w:pStyle w:val="p"/>
        <w:ind w:firstLine="420"/>
        <w:jc w:val="both"/>
        <w:rPr>
          <w:rFonts w:ascii="Simsun" w:hAnsi="Simsun" w:hint="eastAsia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333333"/>
          <w:sz w:val="32"/>
          <w:szCs w:val="32"/>
        </w:rPr>
        <w:t>（一）资金来源。区财政一般预算安排的资金；福利彩票公益金安排的资金；社会捐助资金；其他渠道筹集的资金。</w:t>
      </w:r>
    </w:p>
    <w:p w:rsidR="00596607" w:rsidRDefault="00596607" w:rsidP="00596607">
      <w:pPr>
        <w:pStyle w:val="p"/>
        <w:ind w:firstLine="420"/>
        <w:jc w:val="both"/>
        <w:rPr>
          <w:rFonts w:ascii="Simsun" w:hAnsi="Simsun" w:hint="eastAsia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333333"/>
          <w:sz w:val="32"/>
          <w:szCs w:val="32"/>
        </w:rPr>
        <w:t>（二）资金管理。要加大资金整合力度，强化低收入老年人相关补贴、养老保险、城乡低保、社会救助等制度的统筹衔接。社会办养老机构、社区养老服务设施建设经费中的一次性建设补助、贷款贴息补助仅用于养老服务机构、社区养老服务设施房屋建设、设备、设施添置更新费用等。运营补贴、政府购买服务补贴仅限于设备添置、人员工资、人员培训、综合责任保险费用等。</w:t>
      </w:r>
    </w:p>
    <w:p w:rsidR="00596607" w:rsidRDefault="00596607" w:rsidP="00596607">
      <w:pPr>
        <w:pStyle w:val="p"/>
        <w:ind w:firstLine="420"/>
        <w:jc w:val="both"/>
        <w:rPr>
          <w:rFonts w:ascii="Simsun" w:hAnsi="Simsun" w:hint="eastAsia"/>
          <w:color w:val="000000"/>
          <w:sz w:val="21"/>
          <w:szCs w:val="21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五、保障措施</w:t>
      </w:r>
    </w:p>
    <w:p w:rsidR="00596607" w:rsidRDefault="00596607" w:rsidP="00596607">
      <w:pPr>
        <w:pStyle w:val="p"/>
        <w:ind w:firstLine="420"/>
        <w:jc w:val="both"/>
        <w:rPr>
          <w:rFonts w:ascii="Simsun" w:hAnsi="Simsun" w:hint="eastAsia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333333"/>
          <w:sz w:val="32"/>
          <w:szCs w:val="32"/>
        </w:rPr>
        <w:t>（一）明确责任，抓好落实。区民政局、区财政局按照职能分工各负其责。区民政局负责编制规划、制定标准、对项目实施情况进行督查考核。区财政局负责安排落实上级财政资金，督促部门落实补助资金。</w:t>
      </w:r>
    </w:p>
    <w:p w:rsidR="00596607" w:rsidRDefault="00596607" w:rsidP="00596607">
      <w:pPr>
        <w:pStyle w:val="p"/>
        <w:ind w:firstLine="420"/>
        <w:jc w:val="both"/>
        <w:rPr>
          <w:rFonts w:ascii="Simsun" w:hAnsi="Simsun" w:hint="eastAsia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333333"/>
          <w:sz w:val="32"/>
          <w:szCs w:val="32"/>
        </w:rPr>
        <w:lastRenderedPageBreak/>
        <w:t>（二）部门协作，加强检查。区民政、财政等部门应加强协调，密切协作，齐抓共管，把各项措施落到实处。建立由民政、财政等部门负责同志参加的联席会议制度，协调研究和解决问题，部署阶段性工作重点和任务，制定详细的工作计划。</w:t>
      </w:r>
    </w:p>
    <w:p w:rsidR="00596607" w:rsidRDefault="00596607" w:rsidP="00596607">
      <w:pPr>
        <w:pStyle w:val="p"/>
        <w:ind w:firstLine="420"/>
        <w:jc w:val="both"/>
        <w:rPr>
          <w:rFonts w:ascii="Simsun" w:hAnsi="Simsun" w:hint="eastAsia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333333"/>
          <w:sz w:val="32"/>
          <w:szCs w:val="32"/>
        </w:rPr>
        <w:t>（三）规范管理，严格监督。区人民政府结合实际，制定本区社会养老服务体系建设实施办法和经费申报、审批、拨付、使用、管理和监督办法。建立健全绩效考核制度，实行目标管理。同时自觉接受各级人大、政协、纪检、监察、审计、新闻媒体和群众监督。</w:t>
      </w:r>
    </w:p>
    <w:p w:rsidR="00FE5E2A" w:rsidRPr="00596607" w:rsidRDefault="00FE5E2A"/>
    <w:sectPr w:rsidR="00FE5E2A" w:rsidRPr="00596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710"/>
    <w:rsid w:val="001D077C"/>
    <w:rsid w:val="00486710"/>
    <w:rsid w:val="00596607"/>
    <w:rsid w:val="00FE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B60FE"/>
  <w15:chartTrackingRefBased/>
  <w15:docId w15:val="{7EC6C191-D6A5-4E27-B0B1-022BB8FC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59660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9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4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个人用户</cp:lastModifiedBy>
  <cp:revision>4</cp:revision>
  <dcterms:created xsi:type="dcterms:W3CDTF">2018-05-09T03:22:00Z</dcterms:created>
  <dcterms:modified xsi:type="dcterms:W3CDTF">2018-10-16T02:18:00Z</dcterms:modified>
</cp:coreProperties>
</file>