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5F60F" w14:textId="77777777" w:rsidR="00CA3F5E" w:rsidRPr="00CA3F5E" w:rsidRDefault="00CA3F5E" w:rsidP="00CA3F5E">
      <w:pPr>
        <w:widowControl/>
        <w:spacing w:line="750" w:lineRule="atLeast"/>
        <w:jc w:val="center"/>
        <w:rPr>
          <w:rFonts w:ascii="Tahoma" w:eastAsia="Times New Roman" w:hAnsi="Tahoma" w:cs="Tahoma"/>
          <w:b/>
          <w:bCs/>
          <w:color w:val="000000"/>
          <w:kern w:val="0"/>
          <w:sz w:val="27"/>
          <w:szCs w:val="27"/>
        </w:rPr>
      </w:pPr>
      <w:r w:rsidRPr="00CA3F5E">
        <w:rPr>
          <w:rFonts w:ascii="MS Mincho" w:eastAsia="MS Mincho" w:hAnsi="MS Mincho" w:cs="MS Mincho"/>
          <w:b/>
          <w:bCs/>
          <w:color w:val="000000"/>
          <w:kern w:val="0"/>
          <w:sz w:val="27"/>
          <w:szCs w:val="27"/>
        </w:rPr>
        <w:t>泉州市人民政府</w:t>
      </w:r>
      <w:r w:rsidRPr="00CA3F5E">
        <w:rPr>
          <w:rFonts w:ascii="SimSun" w:eastAsia="SimSun" w:hAnsi="SimSun" w:cs="SimSun"/>
          <w:b/>
          <w:bCs/>
          <w:color w:val="000000"/>
          <w:kern w:val="0"/>
          <w:sz w:val="27"/>
          <w:szCs w:val="27"/>
        </w:rPr>
        <w:t>办</w:t>
      </w:r>
      <w:r w:rsidRPr="00CA3F5E">
        <w:rPr>
          <w:rFonts w:ascii="MS Mincho" w:eastAsia="MS Mincho" w:hAnsi="MS Mincho" w:cs="MS Mincho"/>
          <w:b/>
          <w:bCs/>
          <w:color w:val="000000"/>
          <w:kern w:val="0"/>
          <w:sz w:val="27"/>
          <w:szCs w:val="27"/>
        </w:rPr>
        <w:t>公室</w:t>
      </w:r>
      <w:bookmarkStart w:id="0" w:name="_GoBack"/>
      <w:r w:rsidRPr="00CA3F5E">
        <w:rPr>
          <w:rFonts w:ascii="MS Mincho" w:eastAsia="MS Mincho" w:hAnsi="MS Mincho" w:cs="MS Mincho"/>
          <w:b/>
          <w:bCs/>
          <w:color w:val="000000"/>
          <w:kern w:val="0"/>
          <w:sz w:val="27"/>
          <w:szCs w:val="27"/>
        </w:rPr>
        <w:t>关于大力鼓励社会</w:t>
      </w:r>
      <w:r w:rsidRPr="00CA3F5E">
        <w:rPr>
          <w:rFonts w:ascii="SimSun" w:eastAsia="SimSun" w:hAnsi="SimSun" w:cs="SimSun"/>
          <w:b/>
          <w:bCs/>
          <w:color w:val="000000"/>
          <w:kern w:val="0"/>
          <w:sz w:val="27"/>
          <w:szCs w:val="27"/>
        </w:rPr>
        <w:t>资</w:t>
      </w:r>
      <w:r w:rsidRPr="00CA3F5E">
        <w:rPr>
          <w:rFonts w:ascii="MS Mincho" w:eastAsia="MS Mincho" w:hAnsi="MS Mincho" w:cs="MS Mincho"/>
          <w:b/>
          <w:bCs/>
          <w:color w:val="000000"/>
          <w:kern w:val="0"/>
          <w:sz w:val="27"/>
          <w:szCs w:val="27"/>
        </w:rPr>
        <w:t>本建</w:t>
      </w:r>
      <w:r w:rsidRPr="00CA3F5E">
        <w:rPr>
          <w:rFonts w:ascii="SimSun" w:eastAsia="SimSun" w:hAnsi="SimSun" w:cs="SimSun"/>
          <w:b/>
          <w:bCs/>
          <w:color w:val="000000"/>
          <w:kern w:val="0"/>
          <w:sz w:val="27"/>
          <w:szCs w:val="27"/>
        </w:rPr>
        <w:t>设</w:t>
      </w:r>
      <w:r w:rsidRPr="00CA3F5E">
        <w:rPr>
          <w:rFonts w:ascii="MS Mincho" w:eastAsia="MS Mincho" w:hAnsi="MS Mincho" w:cs="MS Mincho"/>
          <w:b/>
          <w:bCs/>
          <w:color w:val="000000"/>
          <w:kern w:val="0"/>
          <w:sz w:val="27"/>
          <w:szCs w:val="27"/>
        </w:rPr>
        <w:t>和</w:t>
      </w:r>
      <w:r w:rsidRPr="00CA3F5E">
        <w:rPr>
          <w:rFonts w:ascii="SimSun" w:eastAsia="SimSun" w:hAnsi="SimSun" w:cs="SimSun"/>
          <w:b/>
          <w:bCs/>
          <w:color w:val="000000"/>
          <w:kern w:val="0"/>
          <w:sz w:val="27"/>
          <w:szCs w:val="27"/>
        </w:rPr>
        <w:t>发</w:t>
      </w:r>
      <w:r w:rsidRPr="00CA3F5E">
        <w:rPr>
          <w:rFonts w:ascii="MS Mincho" w:eastAsia="MS Mincho" w:hAnsi="MS Mincho" w:cs="MS Mincho"/>
          <w:b/>
          <w:bCs/>
          <w:color w:val="000000"/>
          <w:kern w:val="0"/>
          <w:sz w:val="27"/>
          <w:szCs w:val="27"/>
        </w:rPr>
        <w:t>展新型研</w:t>
      </w:r>
      <w:r w:rsidRPr="00CA3F5E">
        <w:rPr>
          <w:rFonts w:ascii="SimSun" w:eastAsia="SimSun" w:hAnsi="SimSun" w:cs="SimSun"/>
          <w:b/>
          <w:bCs/>
          <w:color w:val="000000"/>
          <w:kern w:val="0"/>
          <w:sz w:val="27"/>
          <w:szCs w:val="27"/>
        </w:rPr>
        <w:t>发</w:t>
      </w:r>
      <w:r w:rsidRPr="00CA3F5E">
        <w:rPr>
          <w:rFonts w:ascii="MS Mincho" w:eastAsia="MS Mincho" w:hAnsi="MS Mincho" w:cs="MS Mincho"/>
          <w:b/>
          <w:bCs/>
          <w:color w:val="000000"/>
          <w:kern w:val="0"/>
          <w:sz w:val="27"/>
          <w:szCs w:val="27"/>
        </w:rPr>
        <w:t>机构的意</w:t>
      </w:r>
      <w:r w:rsidRPr="00CA3F5E">
        <w:rPr>
          <w:rFonts w:ascii="SimSun" w:eastAsia="SimSun" w:hAnsi="SimSun" w:cs="SimSun"/>
          <w:b/>
          <w:bCs/>
          <w:color w:val="000000"/>
          <w:kern w:val="0"/>
          <w:sz w:val="27"/>
          <w:szCs w:val="27"/>
        </w:rPr>
        <w:t>见</w:t>
      </w:r>
      <w:bookmarkEnd w:id="0"/>
    </w:p>
    <w:p w14:paraId="505D703F" w14:textId="77777777" w:rsidR="00CA3F5E" w:rsidRPr="00CA3F5E" w:rsidRDefault="00CA3F5E" w:rsidP="00CA3F5E">
      <w:pPr>
        <w:widowControl/>
        <w:spacing w:line="450" w:lineRule="atLeast"/>
        <w:jc w:val="center"/>
        <w:rPr>
          <w:rFonts w:ascii="Tahoma" w:eastAsia="Times New Roman" w:hAnsi="Tahoma" w:cs="Tahoma"/>
          <w:color w:val="D5D5D5"/>
          <w:kern w:val="0"/>
          <w:sz w:val="18"/>
          <w:szCs w:val="18"/>
        </w:rPr>
      </w:pPr>
      <w:r w:rsidRPr="00CA3F5E">
        <w:rPr>
          <w:rFonts w:ascii="Tahoma" w:eastAsia="Times New Roman" w:hAnsi="Tahoma" w:cs="Tahoma"/>
          <w:color w:val="D5D5D5"/>
          <w:kern w:val="0"/>
          <w:sz w:val="18"/>
          <w:szCs w:val="18"/>
        </w:rPr>
        <w:t xml:space="preserve">* </w:t>
      </w:r>
      <w:r w:rsidRPr="00CA3F5E">
        <w:rPr>
          <w:rFonts w:ascii="MS Mincho" w:eastAsia="MS Mincho" w:hAnsi="MS Mincho" w:cs="MS Mincho"/>
          <w:color w:val="D5D5D5"/>
          <w:kern w:val="0"/>
          <w:sz w:val="18"/>
          <w:szCs w:val="18"/>
        </w:rPr>
        <w:t>来源</w:t>
      </w:r>
      <w:r w:rsidRPr="00CA3F5E">
        <w:rPr>
          <w:rFonts w:ascii="Tahoma" w:eastAsia="Times New Roman" w:hAnsi="Tahoma" w:cs="Tahoma"/>
          <w:color w:val="D5D5D5"/>
          <w:kern w:val="0"/>
          <w:sz w:val="18"/>
          <w:szCs w:val="18"/>
        </w:rPr>
        <w:t xml:space="preserve"> : * </w:t>
      </w:r>
      <w:r w:rsidRPr="00CA3F5E">
        <w:rPr>
          <w:rFonts w:ascii="MS Mincho" w:eastAsia="MS Mincho" w:hAnsi="MS Mincho" w:cs="MS Mincho"/>
          <w:color w:val="D5D5D5"/>
          <w:kern w:val="0"/>
          <w:sz w:val="18"/>
          <w:szCs w:val="18"/>
        </w:rPr>
        <w:t>作者</w:t>
      </w:r>
      <w:r w:rsidRPr="00CA3F5E">
        <w:rPr>
          <w:rFonts w:ascii="Tahoma" w:eastAsia="Times New Roman" w:hAnsi="Tahoma" w:cs="Tahoma"/>
          <w:color w:val="D5D5D5"/>
          <w:kern w:val="0"/>
          <w:sz w:val="18"/>
          <w:szCs w:val="18"/>
        </w:rPr>
        <w:t xml:space="preserve"> : admin * </w:t>
      </w:r>
      <w:r w:rsidRPr="00CA3F5E">
        <w:rPr>
          <w:rFonts w:ascii="SimSun" w:eastAsia="SimSun" w:hAnsi="SimSun" w:cs="SimSun"/>
          <w:color w:val="D5D5D5"/>
          <w:kern w:val="0"/>
          <w:sz w:val="18"/>
          <w:szCs w:val="18"/>
        </w:rPr>
        <w:t>发表时间</w:t>
      </w:r>
      <w:r w:rsidRPr="00CA3F5E">
        <w:rPr>
          <w:rFonts w:ascii="Tahoma" w:eastAsia="Times New Roman" w:hAnsi="Tahoma" w:cs="Tahoma"/>
          <w:color w:val="D5D5D5"/>
          <w:kern w:val="0"/>
          <w:sz w:val="18"/>
          <w:szCs w:val="18"/>
        </w:rPr>
        <w:t xml:space="preserve"> : 2017-10-27 * </w:t>
      </w:r>
      <w:r w:rsidRPr="00CA3F5E">
        <w:rPr>
          <w:rFonts w:ascii="SimSun" w:eastAsia="SimSun" w:hAnsi="SimSun" w:cs="SimSun"/>
          <w:color w:val="D5D5D5"/>
          <w:kern w:val="0"/>
          <w:sz w:val="18"/>
          <w:szCs w:val="18"/>
        </w:rPr>
        <w:t>浏览</w:t>
      </w:r>
      <w:r w:rsidRPr="00CA3F5E">
        <w:rPr>
          <w:rFonts w:ascii="Tahoma" w:eastAsia="Times New Roman" w:hAnsi="Tahoma" w:cs="Tahoma"/>
          <w:color w:val="D5D5D5"/>
          <w:kern w:val="0"/>
          <w:sz w:val="18"/>
          <w:szCs w:val="18"/>
        </w:rPr>
        <w:t xml:space="preserve"> : 129</w:t>
      </w:r>
    </w:p>
    <w:p w14:paraId="2BA7EFB6"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64A3F640" w14:textId="77777777" w:rsidR="00CA3F5E" w:rsidRPr="00CA3F5E" w:rsidRDefault="00CA3F5E" w:rsidP="00CA3F5E">
      <w:pPr>
        <w:widowControl/>
        <w:spacing w:line="360" w:lineRule="atLeast"/>
        <w:jc w:val="center"/>
        <w:rPr>
          <w:rFonts w:ascii="Tahoma" w:hAnsi="Tahoma" w:cs="Tahoma"/>
          <w:color w:val="000000"/>
          <w:kern w:val="0"/>
          <w:sz w:val="21"/>
          <w:szCs w:val="21"/>
        </w:rPr>
      </w:pPr>
      <w:r w:rsidRPr="00CA3F5E">
        <w:rPr>
          <w:rFonts w:ascii="Tahoma" w:hAnsi="Tahoma" w:cs="Tahoma"/>
          <w:color w:val="000000"/>
          <w:kern w:val="0"/>
          <w:sz w:val="21"/>
          <w:szCs w:val="21"/>
        </w:rPr>
        <w:t>泉政办</w:t>
      </w:r>
      <w:r w:rsidRPr="00CA3F5E">
        <w:rPr>
          <w:rFonts w:ascii="Tahoma" w:hAnsi="Tahoma" w:cs="Tahoma"/>
          <w:color w:val="000000"/>
          <w:kern w:val="0"/>
          <w:sz w:val="21"/>
          <w:szCs w:val="21"/>
        </w:rPr>
        <w:t>[2017]150</w:t>
      </w:r>
      <w:r w:rsidRPr="00CA3F5E">
        <w:rPr>
          <w:rFonts w:ascii="Tahoma" w:hAnsi="Tahoma" w:cs="Tahoma"/>
          <w:color w:val="000000"/>
          <w:kern w:val="0"/>
          <w:sz w:val="21"/>
          <w:szCs w:val="21"/>
        </w:rPr>
        <w:t>号</w:t>
      </w:r>
    </w:p>
    <w:p w14:paraId="012AECF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 </w:t>
      </w:r>
    </w:p>
    <w:p w14:paraId="66D2636D" w14:textId="77777777" w:rsidR="00CA3F5E" w:rsidRPr="00CA3F5E" w:rsidRDefault="00CA3F5E" w:rsidP="00CA3F5E">
      <w:pPr>
        <w:widowControl/>
        <w:spacing w:line="360" w:lineRule="atLeast"/>
        <w:jc w:val="left"/>
        <w:rPr>
          <w:rFonts w:ascii="Tahoma" w:hAnsi="Tahoma" w:cs="Tahoma"/>
          <w:color w:val="000000"/>
          <w:kern w:val="0"/>
          <w:sz w:val="21"/>
          <w:szCs w:val="21"/>
        </w:rPr>
      </w:pPr>
      <w:r w:rsidRPr="00CA3F5E">
        <w:rPr>
          <w:rFonts w:ascii="Tahoma" w:hAnsi="Tahoma" w:cs="Tahoma"/>
          <w:color w:val="000000"/>
          <w:kern w:val="0"/>
          <w:sz w:val="21"/>
          <w:szCs w:val="21"/>
        </w:rPr>
        <w:t>各县（市、区）人民政府，泉州开发区、泉州台商区管委会，市人民政府各部门、各直属机构，各大企业，各高等院校：</w:t>
      </w:r>
    </w:p>
    <w:p w14:paraId="303D2B4F"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5B34B6B"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为贯彻《福建省人民政府办公厅关于鼓励社会资本建设和发展新型研发机构若干措施的通知》（闽政办〔</w:t>
      </w:r>
      <w:r w:rsidRPr="00CA3F5E">
        <w:rPr>
          <w:rFonts w:ascii="Tahoma" w:hAnsi="Tahoma" w:cs="Tahoma"/>
          <w:color w:val="000000"/>
          <w:kern w:val="0"/>
          <w:sz w:val="21"/>
          <w:szCs w:val="21"/>
        </w:rPr>
        <w:t>2016</w:t>
      </w:r>
      <w:r w:rsidRPr="00CA3F5E">
        <w:rPr>
          <w:rFonts w:ascii="Tahoma" w:hAnsi="Tahoma" w:cs="Tahoma"/>
          <w:color w:val="000000"/>
          <w:kern w:val="0"/>
          <w:sz w:val="21"/>
          <w:szCs w:val="21"/>
        </w:rPr>
        <w:t>〕</w:t>
      </w:r>
      <w:r w:rsidRPr="00CA3F5E">
        <w:rPr>
          <w:rFonts w:ascii="Tahoma" w:hAnsi="Tahoma" w:cs="Tahoma"/>
          <w:color w:val="000000"/>
          <w:kern w:val="0"/>
          <w:sz w:val="21"/>
          <w:szCs w:val="21"/>
        </w:rPr>
        <w:t xml:space="preserve">145 </w:t>
      </w:r>
      <w:r w:rsidRPr="00CA3F5E">
        <w:rPr>
          <w:rFonts w:ascii="Tahoma" w:hAnsi="Tahoma" w:cs="Tahoma"/>
          <w:color w:val="000000"/>
          <w:kern w:val="0"/>
          <w:sz w:val="21"/>
          <w:szCs w:val="21"/>
        </w:rPr>
        <w:t>号）和《中共泉州市委</w:t>
      </w: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泉州市人民政府关于实施创新驱动发展战略建设国家自主创新示范区的意见》（泉委发〔</w:t>
      </w:r>
      <w:r w:rsidRPr="00CA3F5E">
        <w:rPr>
          <w:rFonts w:ascii="Tahoma" w:hAnsi="Tahoma" w:cs="Tahoma"/>
          <w:color w:val="000000"/>
          <w:kern w:val="0"/>
          <w:sz w:val="21"/>
          <w:szCs w:val="21"/>
        </w:rPr>
        <w:t>2016</w:t>
      </w:r>
      <w:r w:rsidRPr="00CA3F5E">
        <w:rPr>
          <w:rFonts w:ascii="Tahoma" w:hAnsi="Tahoma" w:cs="Tahoma"/>
          <w:color w:val="000000"/>
          <w:kern w:val="0"/>
          <w:sz w:val="21"/>
          <w:szCs w:val="21"/>
        </w:rPr>
        <w:t>〕</w:t>
      </w:r>
      <w:r w:rsidRPr="00CA3F5E">
        <w:rPr>
          <w:rFonts w:ascii="Tahoma" w:hAnsi="Tahoma" w:cs="Tahoma"/>
          <w:color w:val="000000"/>
          <w:kern w:val="0"/>
          <w:sz w:val="21"/>
          <w:szCs w:val="21"/>
        </w:rPr>
        <w:t>18</w:t>
      </w:r>
      <w:r w:rsidRPr="00CA3F5E">
        <w:rPr>
          <w:rFonts w:ascii="Tahoma" w:hAnsi="Tahoma" w:cs="Tahoma"/>
          <w:color w:val="000000"/>
          <w:kern w:val="0"/>
          <w:sz w:val="21"/>
          <w:szCs w:val="21"/>
        </w:rPr>
        <w:t>号）等文件精神，进一步推进我市新型研发机构建设，经市政府研究，提出如下意见：</w:t>
      </w:r>
    </w:p>
    <w:p w14:paraId="3A6119EB"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A2C223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一、明确我市新型研发机构建设的内涵</w:t>
      </w:r>
    </w:p>
    <w:p w14:paraId="4A2A5E25"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566A7F11"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我市新型研发机构是指按照</w:t>
      </w:r>
      <w:r w:rsidRPr="00CA3F5E">
        <w:rPr>
          <w:rFonts w:ascii="Tahoma" w:hAnsi="Tahoma" w:cs="Tahoma"/>
          <w:color w:val="000000"/>
          <w:kern w:val="0"/>
          <w:sz w:val="21"/>
          <w:szCs w:val="21"/>
        </w:rPr>
        <w:t>“</w:t>
      </w:r>
      <w:r w:rsidRPr="00CA3F5E">
        <w:rPr>
          <w:rFonts w:ascii="Tahoma" w:hAnsi="Tahoma" w:cs="Tahoma"/>
          <w:color w:val="000000"/>
          <w:kern w:val="0"/>
          <w:sz w:val="21"/>
          <w:szCs w:val="21"/>
        </w:rPr>
        <w:t>政府引导、实体办院、市场运作、专业运营</w:t>
      </w:r>
      <w:r w:rsidRPr="00CA3F5E">
        <w:rPr>
          <w:rFonts w:ascii="Tahoma" w:hAnsi="Tahoma" w:cs="Tahoma"/>
          <w:color w:val="000000"/>
          <w:kern w:val="0"/>
          <w:sz w:val="21"/>
          <w:szCs w:val="21"/>
        </w:rPr>
        <w:t>”</w:t>
      </w:r>
      <w:r w:rsidRPr="00CA3F5E">
        <w:rPr>
          <w:rFonts w:ascii="Tahoma" w:hAnsi="Tahoma" w:cs="Tahoma"/>
          <w:color w:val="000000"/>
          <w:kern w:val="0"/>
          <w:sz w:val="21"/>
          <w:szCs w:val="21"/>
        </w:rPr>
        <w:t>的现代管理理念，突出企业创新主体地位，通过公办专营、民办公助、企办补贴等多种模式，企业、高等院校、科研院所、产业技术创新战略创新联盟、行业协会、商会和投资机构等以产学研合作方式，在泉创办具有独立法人资格的研发机构。</w:t>
      </w:r>
    </w:p>
    <w:p w14:paraId="4E998FE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432A439"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二、规范我市新型研发机构建设的类型和基本条件</w:t>
      </w:r>
    </w:p>
    <w:p w14:paraId="55D322F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FF0DB69"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（一）新型研发机构的类型</w:t>
      </w:r>
    </w:p>
    <w:p w14:paraId="761E0CC7"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9DD32F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企业类。主要从事技术研发、成果转化、技术服务、科技企业孵化等活动并在工商注册的新型研发机构。</w:t>
      </w:r>
    </w:p>
    <w:p w14:paraId="35FA0820"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541682F9"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民办非企业类。在民政部门登记注册的新型研发机构。</w:t>
      </w:r>
    </w:p>
    <w:p w14:paraId="7EAB7201"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241919E"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3.</w:t>
      </w:r>
      <w:r w:rsidRPr="00CA3F5E">
        <w:rPr>
          <w:rFonts w:ascii="Tahoma" w:hAnsi="Tahoma" w:cs="Tahoma"/>
          <w:color w:val="000000"/>
          <w:kern w:val="0"/>
          <w:sz w:val="21"/>
          <w:szCs w:val="21"/>
        </w:rPr>
        <w:t>事业类。机构编制部门审批设立事业单位性质的新型研发机构。</w:t>
      </w:r>
    </w:p>
    <w:p w14:paraId="787C1A9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C15C61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（二）新型研发机构的基本条件</w:t>
      </w:r>
    </w:p>
    <w:p w14:paraId="7A5C2329"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BBDC372"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lastRenderedPageBreak/>
        <w:t>1.</w:t>
      </w:r>
      <w:r w:rsidRPr="00CA3F5E">
        <w:rPr>
          <w:rFonts w:ascii="Tahoma" w:hAnsi="Tahoma" w:cs="Tahoma"/>
          <w:color w:val="000000"/>
          <w:kern w:val="0"/>
          <w:sz w:val="21"/>
          <w:szCs w:val="21"/>
        </w:rPr>
        <w:t>在泉州投资设立的，主要从事科学研究、技术研发、成果转化、创新创业与孵化育成，具备承担国家、省、市技术攻关项目能力，具有独立法人资格的科研实体；拥有一定的经济实力和较稳定的资金来源，主要办公和科研场所设在泉州。</w:t>
      </w:r>
    </w:p>
    <w:p w14:paraId="79FFC773"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64937B37"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2.</w:t>
      </w:r>
      <w:r w:rsidRPr="00CA3F5E">
        <w:rPr>
          <w:rFonts w:ascii="Tahoma" w:hAnsi="Tahoma" w:cs="Tahoma"/>
          <w:color w:val="000000"/>
          <w:kern w:val="0"/>
          <w:sz w:val="21"/>
          <w:szCs w:val="21"/>
        </w:rPr>
        <w:t>具备进行研究、开发和试验所需要的仪器、装备和固定场地等基础设施，办公和科研场所不少于</w:t>
      </w:r>
      <w:r w:rsidRPr="00CA3F5E">
        <w:rPr>
          <w:rFonts w:ascii="Tahoma" w:hAnsi="Tahoma" w:cs="Tahoma"/>
          <w:color w:val="000000"/>
          <w:kern w:val="0"/>
          <w:sz w:val="21"/>
          <w:szCs w:val="21"/>
        </w:rPr>
        <w:t>150</w:t>
      </w:r>
      <w:r w:rsidRPr="00CA3F5E">
        <w:rPr>
          <w:rFonts w:ascii="Tahoma" w:hAnsi="Tahoma" w:cs="Tahoma"/>
          <w:color w:val="000000"/>
          <w:kern w:val="0"/>
          <w:sz w:val="21"/>
          <w:szCs w:val="21"/>
        </w:rPr>
        <w:t>平方米；拥有必要的测试、分析手段和工艺设备，且用于研究开发的仪器设备原值不低于</w:t>
      </w:r>
      <w:r w:rsidRPr="00CA3F5E">
        <w:rPr>
          <w:rFonts w:ascii="Tahoma" w:hAnsi="Tahoma" w:cs="Tahoma"/>
          <w:color w:val="000000"/>
          <w:kern w:val="0"/>
          <w:sz w:val="21"/>
          <w:szCs w:val="21"/>
        </w:rPr>
        <w:t>100</w:t>
      </w:r>
      <w:r w:rsidRPr="00CA3F5E">
        <w:rPr>
          <w:rFonts w:ascii="Tahoma" w:hAnsi="Tahoma" w:cs="Tahoma"/>
          <w:color w:val="000000"/>
          <w:kern w:val="0"/>
          <w:sz w:val="21"/>
          <w:szCs w:val="21"/>
        </w:rPr>
        <w:t>万元（农业、文化创意等领域的不低于</w:t>
      </w:r>
      <w:r w:rsidRPr="00CA3F5E">
        <w:rPr>
          <w:rFonts w:ascii="Tahoma" w:hAnsi="Tahoma" w:cs="Tahoma"/>
          <w:color w:val="000000"/>
          <w:kern w:val="0"/>
          <w:sz w:val="21"/>
          <w:szCs w:val="21"/>
        </w:rPr>
        <w:t>80</w:t>
      </w:r>
      <w:r w:rsidRPr="00CA3F5E">
        <w:rPr>
          <w:rFonts w:ascii="Tahoma" w:hAnsi="Tahoma" w:cs="Tahoma"/>
          <w:color w:val="000000"/>
          <w:kern w:val="0"/>
          <w:sz w:val="21"/>
          <w:szCs w:val="21"/>
        </w:rPr>
        <w:t>万元）。</w:t>
      </w:r>
    </w:p>
    <w:p w14:paraId="08EAD150"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36CA5DB"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3.</w:t>
      </w:r>
      <w:r w:rsidRPr="00CA3F5E">
        <w:rPr>
          <w:rFonts w:ascii="Tahoma" w:hAnsi="Tahoma" w:cs="Tahoma"/>
          <w:color w:val="000000"/>
          <w:kern w:val="0"/>
          <w:sz w:val="21"/>
          <w:szCs w:val="21"/>
        </w:rPr>
        <w:t>具有稳定的研发经费来源，年度研究开发经费支出不低于年收入总额的</w:t>
      </w:r>
      <w:r w:rsidRPr="00CA3F5E">
        <w:rPr>
          <w:rFonts w:ascii="Tahoma" w:hAnsi="Tahoma" w:cs="Tahoma"/>
          <w:color w:val="000000"/>
          <w:kern w:val="0"/>
          <w:sz w:val="21"/>
          <w:szCs w:val="21"/>
        </w:rPr>
        <w:t>8%</w:t>
      </w:r>
      <w:r w:rsidRPr="00CA3F5E">
        <w:rPr>
          <w:rFonts w:ascii="Tahoma" w:hAnsi="Tahoma" w:cs="Tahoma"/>
          <w:color w:val="000000"/>
          <w:kern w:val="0"/>
          <w:sz w:val="21"/>
          <w:szCs w:val="21"/>
        </w:rPr>
        <w:t>，其中企业类的不低于</w:t>
      </w:r>
      <w:r w:rsidRPr="00CA3F5E">
        <w:rPr>
          <w:rFonts w:ascii="Tahoma" w:hAnsi="Tahoma" w:cs="Tahoma"/>
          <w:color w:val="000000"/>
          <w:kern w:val="0"/>
          <w:sz w:val="21"/>
          <w:szCs w:val="21"/>
        </w:rPr>
        <w:t>5%</w:t>
      </w:r>
      <w:r w:rsidRPr="00CA3F5E">
        <w:rPr>
          <w:rFonts w:ascii="Tahoma" w:hAnsi="Tahoma" w:cs="Tahoma"/>
          <w:color w:val="000000"/>
          <w:kern w:val="0"/>
          <w:sz w:val="21"/>
          <w:szCs w:val="21"/>
        </w:rPr>
        <w:t>。</w:t>
      </w:r>
    </w:p>
    <w:p w14:paraId="6A239A72"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2E90A16"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4.</w:t>
      </w:r>
      <w:r w:rsidRPr="00CA3F5E">
        <w:rPr>
          <w:rFonts w:ascii="Tahoma" w:hAnsi="Tahoma" w:cs="Tahoma"/>
          <w:color w:val="000000"/>
          <w:kern w:val="0"/>
          <w:sz w:val="21"/>
          <w:szCs w:val="21"/>
        </w:rPr>
        <w:t>具有稳定的研发队伍（不少于</w:t>
      </w:r>
      <w:r w:rsidRPr="00CA3F5E">
        <w:rPr>
          <w:rFonts w:ascii="Tahoma" w:hAnsi="Tahoma" w:cs="Tahoma"/>
          <w:color w:val="000000"/>
          <w:kern w:val="0"/>
          <w:sz w:val="21"/>
          <w:szCs w:val="21"/>
        </w:rPr>
        <w:t>20</w:t>
      </w:r>
      <w:r w:rsidRPr="00CA3F5E">
        <w:rPr>
          <w:rFonts w:ascii="Tahoma" w:hAnsi="Tahoma" w:cs="Tahoma"/>
          <w:color w:val="000000"/>
          <w:kern w:val="0"/>
          <w:sz w:val="21"/>
          <w:szCs w:val="21"/>
        </w:rPr>
        <w:t>人），常驻研发人员占职工总人数比例达到</w:t>
      </w:r>
      <w:r w:rsidRPr="00CA3F5E">
        <w:rPr>
          <w:rFonts w:ascii="Tahoma" w:hAnsi="Tahoma" w:cs="Tahoma"/>
          <w:color w:val="000000"/>
          <w:kern w:val="0"/>
          <w:sz w:val="21"/>
          <w:szCs w:val="21"/>
        </w:rPr>
        <w:t>20%</w:t>
      </w:r>
      <w:r w:rsidRPr="00CA3F5E">
        <w:rPr>
          <w:rFonts w:ascii="Tahoma" w:hAnsi="Tahoma" w:cs="Tahoma"/>
          <w:color w:val="000000"/>
          <w:kern w:val="0"/>
          <w:sz w:val="21"/>
          <w:szCs w:val="21"/>
        </w:rPr>
        <w:t>以上，硕士或中级职称以上人员占研发人员的</w:t>
      </w:r>
      <w:r w:rsidRPr="00CA3F5E">
        <w:rPr>
          <w:rFonts w:ascii="Tahoma" w:hAnsi="Tahoma" w:cs="Tahoma"/>
          <w:color w:val="000000"/>
          <w:kern w:val="0"/>
          <w:sz w:val="21"/>
          <w:szCs w:val="21"/>
        </w:rPr>
        <w:t>10%</w:t>
      </w:r>
      <w:r w:rsidRPr="00CA3F5E">
        <w:rPr>
          <w:rFonts w:ascii="Tahoma" w:hAnsi="Tahoma" w:cs="Tahoma"/>
          <w:color w:val="000000"/>
          <w:kern w:val="0"/>
          <w:sz w:val="21"/>
          <w:szCs w:val="21"/>
        </w:rPr>
        <w:t>，博士学位或高级职称以上人员占研发人员的</w:t>
      </w:r>
      <w:r w:rsidRPr="00CA3F5E">
        <w:rPr>
          <w:rFonts w:ascii="Tahoma" w:hAnsi="Tahoma" w:cs="Tahoma"/>
          <w:color w:val="000000"/>
          <w:kern w:val="0"/>
          <w:sz w:val="21"/>
          <w:szCs w:val="21"/>
        </w:rPr>
        <w:t>5%</w:t>
      </w:r>
      <w:r w:rsidRPr="00CA3F5E">
        <w:rPr>
          <w:rFonts w:ascii="Tahoma" w:hAnsi="Tahoma" w:cs="Tahoma"/>
          <w:color w:val="000000"/>
          <w:kern w:val="0"/>
          <w:sz w:val="21"/>
          <w:szCs w:val="21"/>
        </w:rPr>
        <w:t>以上。</w:t>
      </w:r>
    </w:p>
    <w:p w14:paraId="7134E5CD"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560D466"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5.</w:t>
      </w:r>
      <w:r w:rsidRPr="00CA3F5E">
        <w:rPr>
          <w:rFonts w:ascii="Tahoma" w:hAnsi="Tahoma" w:cs="Tahoma"/>
          <w:color w:val="000000"/>
          <w:kern w:val="0"/>
          <w:sz w:val="21"/>
          <w:szCs w:val="21"/>
        </w:rPr>
        <w:t>具有面向企业服务、围绕市场配置资源的新型管理体制和运行机制，建立现代科研机构管理制度、科研项目管理制度、科研经费财务会计核算制度。</w:t>
      </w:r>
    </w:p>
    <w:p w14:paraId="3EC10853"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E6925A2"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三、大力推进我市新型研发机构建设发展</w:t>
      </w:r>
    </w:p>
    <w:p w14:paraId="72D5644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F751357"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（一）推动新型研发机构提升研发能力</w:t>
      </w:r>
    </w:p>
    <w:p w14:paraId="4973F41B"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0688143"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新型研发机构独立或联合申报国家和省、市科技计划项目、产业开发专项等的，同等条件下予以优先推荐或优先立项支持。获评新型研发机构的企业优先进入</w:t>
      </w:r>
      <w:r w:rsidRPr="00CA3F5E">
        <w:rPr>
          <w:rFonts w:ascii="Tahoma" w:hAnsi="Tahoma" w:cs="Tahoma"/>
          <w:color w:val="000000"/>
          <w:kern w:val="0"/>
          <w:sz w:val="21"/>
          <w:szCs w:val="21"/>
        </w:rPr>
        <w:t>“</w:t>
      </w:r>
      <w:r w:rsidRPr="00CA3F5E">
        <w:rPr>
          <w:rFonts w:ascii="Tahoma" w:hAnsi="Tahoma" w:cs="Tahoma"/>
          <w:color w:val="000000"/>
          <w:kern w:val="0"/>
          <w:sz w:val="21"/>
          <w:szCs w:val="21"/>
        </w:rPr>
        <w:t>科技小巨人领军企业培育发展库</w:t>
      </w:r>
      <w:r w:rsidRPr="00CA3F5E">
        <w:rPr>
          <w:rFonts w:ascii="Tahoma" w:hAnsi="Tahoma" w:cs="Tahoma"/>
          <w:color w:val="000000"/>
          <w:kern w:val="0"/>
          <w:sz w:val="21"/>
          <w:szCs w:val="21"/>
        </w:rPr>
        <w:t>”</w:t>
      </w:r>
      <w:r w:rsidRPr="00CA3F5E">
        <w:rPr>
          <w:rFonts w:ascii="Tahoma" w:hAnsi="Tahoma" w:cs="Tahoma"/>
          <w:color w:val="000000"/>
          <w:kern w:val="0"/>
          <w:sz w:val="21"/>
          <w:szCs w:val="21"/>
        </w:rPr>
        <w:t>培育，并享受相关扶持政策。优先支持获评新型研发机构的企业申报高新技术企业、创新型企业、知识产权示范优势企业。优先推荐获评新型研发机构的企业以购买科技创新服务等方式申报省级创新券专项资金。</w:t>
      </w:r>
    </w:p>
    <w:p w14:paraId="44338576"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793DA76"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（责任单位：市科技局、发改委、经信委、财政局、教育局，市国税局、地税局）</w:t>
      </w:r>
    </w:p>
    <w:p w14:paraId="4E309385"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898271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新型研发机构组建的工程（技术）研究中心、检验检测中心、协同创新中心、实验室等创新平台获评国家级、省级、市级的，在按照省政府办公厅《关于加快高水平科技研发创新平台建设发展六条措施的通知》（闽政办〔</w:t>
      </w:r>
      <w:r w:rsidRPr="00CA3F5E">
        <w:rPr>
          <w:rFonts w:ascii="Tahoma" w:hAnsi="Tahoma" w:cs="Tahoma"/>
          <w:color w:val="000000"/>
          <w:kern w:val="0"/>
          <w:sz w:val="21"/>
          <w:szCs w:val="21"/>
        </w:rPr>
        <w:t>2016</w:t>
      </w:r>
      <w:r w:rsidRPr="00CA3F5E">
        <w:rPr>
          <w:rFonts w:ascii="Tahoma" w:hAnsi="Tahoma" w:cs="Tahoma"/>
          <w:color w:val="000000"/>
          <w:kern w:val="0"/>
          <w:sz w:val="21"/>
          <w:szCs w:val="21"/>
        </w:rPr>
        <w:t>〕</w:t>
      </w:r>
      <w:r w:rsidRPr="00CA3F5E">
        <w:rPr>
          <w:rFonts w:ascii="Tahoma" w:hAnsi="Tahoma" w:cs="Tahoma"/>
          <w:color w:val="000000"/>
          <w:kern w:val="0"/>
          <w:sz w:val="21"/>
          <w:szCs w:val="21"/>
        </w:rPr>
        <w:t>19</w:t>
      </w:r>
      <w:r w:rsidRPr="00CA3F5E">
        <w:rPr>
          <w:rFonts w:ascii="Tahoma" w:hAnsi="Tahoma" w:cs="Tahoma"/>
          <w:color w:val="000000"/>
          <w:kern w:val="0"/>
          <w:sz w:val="21"/>
          <w:szCs w:val="21"/>
        </w:rPr>
        <w:t>号）等政策予以奖励的基础上，按相关规定给予补助，同一研发机构同一年度获评同级别多个创新平台不重复奖励。对经认定新成立的博士后科研工作站，给予</w:t>
      </w:r>
      <w:r w:rsidRPr="00CA3F5E">
        <w:rPr>
          <w:rFonts w:ascii="Tahoma" w:hAnsi="Tahoma" w:cs="Tahoma"/>
          <w:color w:val="000000"/>
          <w:kern w:val="0"/>
          <w:sz w:val="21"/>
          <w:szCs w:val="21"/>
        </w:rPr>
        <w:t>30</w:t>
      </w:r>
      <w:r w:rsidRPr="00CA3F5E">
        <w:rPr>
          <w:rFonts w:ascii="Tahoma" w:hAnsi="Tahoma" w:cs="Tahoma"/>
          <w:color w:val="000000"/>
          <w:kern w:val="0"/>
          <w:sz w:val="21"/>
          <w:szCs w:val="21"/>
        </w:rPr>
        <w:t>万元的资金奖励。企业类新型研发机构在境外设立、兼并或并购省外（海外）研发机构的，享受市政府办公室《转发市商务局</w:t>
      </w:r>
      <w:r w:rsidRPr="00CA3F5E">
        <w:rPr>
          <w:rFonts w:ascii="Tahoma" w:hAnsi="Tahoma" w:cs="Tahoma"/>
          <w:color w:val="000000"/>
          <w:kern w:val="0"/>
          <w:sz w:val="21"/>
          <w:szCs w:val="21"/>
        </w:rPr>
        <w:t xml:space="preserve"> </w:t>
      </w:r>
      <w:r w:rsidRPr="00CA3F5E">
        <w:rPr>
          <w:rFonts w:ascii="Tahoma" w:hAnsi="Tahoma" w:cs="Tahoma"/>
          <w:color w:val="000000"/>
          <w:kern w:val="0"/>
          <w:sz w:val="21"/>
          <w:szCs w:val="21"/>
        </w:rPr>
        <w:t>市财政局关于</w:t>
      </w:r>
      <w:r w:rsidRPr="00CA3F5E">
        <w:rPr>
          <w:rFonts w:ascii="Tahoma" w:hAnsi="Tahoma" w:cs="Tahoma"/>
          <w:color w:val="000000"/>
          <w:kern w:val="0"/>
          <w:sz w:val="21"/>
          <w:szCs w:val="21"/>
        </w:rPr>
        <w:t>2017</w:t>
      </w:r>
      <w:r w:rsidRPr="00CA3F5E">
        <w:rPr>
          <w:rFonts w:ascii="Tahoma" w:hAnsi="Tahoma" w:cs="Tahoma"/>
          <w:color w:val="000000"/>
          <w:kern w:val="0"/>
          <w:sz w:val="21"/>
          <w:szCs w:val="21"/>
        </w:rPr>
        <w:t>年泉州市促进对外投资合作若干措施的通知》（泉政办〔</w:t>
      </w:r>
      <w:r w:rsidRPr="00CA3F5E">
        <w:rPr>
          <w:rFonts w:ascii="Tahoma" w:hAnsi="Tahoma" w:cs="Tahoma"/>
          <w:color w:val="000000"/>
          <w:kern w:val="0"/>
          <w:sz w:val="21"/>
          <w:szCs w:val="21"/>
        </w:rPr>
        <w:t>2017</w:t>
      </w:r>
      <w:r w:rsidRPr="00CA3F5E">
        <w:rPr>
          <w:rFonts w:ascii="Tahoma" w:hAnsi="Tahoma" w:cs="Tahoma"/>
          <w:color w:val="000000"/>
          <w:kern w:val="0"/>
          <w:sz w:val="21"/>
          <w:szCs w:val="21"/>
        </w:rPr>
        <w:t>〕</w:t>
      </w:r>
      <w:r w:rsidRPr="00CA3F5E">
        <w:rPr>
          <w:rFonts w:ascii="Tahoma" w:hAnsi="Tahoma" w:cs="Tahoma"/>
          <w:color w:val="000000"/>
          <w:kern w:val="0"/>
          <w:sz w:val="21"/>
          <w:szCs w:val="21"/>
        </w:rPr>
        <w:t>80</w:t>
      </w:r>
      <w:r w:rsidRPr="00CA3F5E">
        <w:rPr>
          <w:rFonts w:ascii="Tahoma" w:hAnsi="Tahoma" w:cs="Tahoma"/>
          <w:color w:val="000000"/>
          <w:kern w:val="0"/>
          <w:sz w:val="21"/>
          <w:szCs w:val="21"/>
        </w:rPr>
        <w:t>号）有关政策。</w:t>
      </w:r>
    </w:p>
    <w:p w14:paraId="401F712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1456F17"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（责任单位：市科技局、发改委、经信委、商务局、财政局、教育局、人社局）</w:t>
      </w:r>
    </w:p>
    <w:p w14:paraId="2FC3917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CB10A8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3.</w:t>
      </w:r>
      <w:r w:rsidRPr="00CA3F5E">
        <w:rPr>
          <w:rFonts w:ascii="Tahoma" w:hAnsi="Tahoma" w:cs="Tahoma"/>
          <w:color w:val="000000"/>
          <w:kern w:val="0"/>
          <w:sz w:val="21"/>
          <w:szCs w:val="21"/>
        </w:rPr>
        <w:t>对符合条件的市级以上新型研发机构进口科研用仪器设备免征进口关税和进口环节增值税、消费税。对新型研发机构已享受进口免税的科研设施仪器，经海关核准，可以用于其他单位的科学研究等活动。</w:t>
      </w:r>
    </w:p>
    <w:p w14:paraId="2EECC32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C07129F"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（责任单位：市财政局，市国税局、地税局、泉州海关）</w:t>
      </w:r>
    </w:p>
    <w:p w14:paraId="46622FB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FCE0E32"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（二）支持新型研发机构建设高层次人才队伍</w:t>
      </w:r>
    </w:p>
    <w:p w14:paraId="5F03784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2329BC52"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支持新型研发机构通过</w:t>
      </w:r>
      <w:r w:rsidRPr="00CA3F5E">
        <w:rPr>
          <w:rFonts w:ascii="Tahoma" w:hAnsi="Tahoma" w:cs="Tahoma"/>
          <w:color w:val="000000"/>
          <w:kern w:val="0"/>
          <w:sz w:val="21"/>
          <w:szCs w:val="21"/>
        </w:rPr>
        <w:t>“</w:t>
      </w:r>
      <w:r w:rsidRPr="00CA3F5E">
        <w:rPr>
          <w:rFonts w:ascii="Tahoma" w:hAnsi="Tahoma" w:cs="Tahoma"/>
          <w:color w:val="000000"/>
          <w:kern w:val="0"/>
          <w:sz w:val="21"/>
          <w:szCs w:val="21"/>
        </w:rPr>
        <w:t>领军人才</w:t>
      </w:r>
      <w:r w:rsidRPr="00CA3F5E">
        <w:rPr>
          <w:rFonts w:ascii="Tahoma" w:hAnsi="Tahoma" w:cs="Tahoma"/>
          <w:color w:val="000000"/>
          <w:kern w:val="0"/>
          <w:sz w:val="21"/>
          <w:szCs w:val="21"/>
        </w:rPr>
        <w:t>+</w:t>
      </w:r>
      <w:r w:rsidRPr="00CA3F5E">
        <w:rPr>
          <w:rFonts w:ascii="Tahoma" w:hAnsi="Tahoma" w:cs="Tahoma"/>
          <w:color w:val="000000"/>
          <w:kern w:val="0"/>
          <w:sz w:val="21"/>
          <w:szCs w:val="21"/>
        </w:rPr>
        <w:t>创新团队</w:t>
      </w:r>
      <w:r w:rsidRPr="00CA3F5E">
        <w:rPr>
          <w:rFonts w:ascii="Tahoma" w:hAnsi="Tahoma" w:cs="Tahoma"/>
          <w:color w:val="000000"/>
          <w:kern w:val="0"/>
          <w:sz w:val="21"/>
          <w:szCs w:val="21"/>
        </w:rPr>
        <w:t>+</w:t>
      </w:r>
      <w:r w:rsidRPr="00CA3F5E">
        <w:rPr>
          <w:rFonts w:ascii="Tahoma" w:hAnsi="Tahoma" w:cs="Tahoma"/>
          <w:color w:val="000000"/>
          <w:kern w:val="0"/>
          <w:sz w:val="21"/>
          <w:szCs w:val="21"/>
        </w:rPr>
        <w:t>创新项目</w:t>
      </w:r>
      <w:r w:rsidRPr="00CA3F5E">
        <w:rPr>
          <w:rFonts w:ascii="Tahoma" w:hAnsi="Tahoma" w:cs="Tahoma"/>
          <w:color w:val="000000"/>
          <w:kern w:val="0"/>
          <w:sz w:val="21"/>
          <w:szCs w:val="21"/>
        </w:rPr>
        <w:t>”</w:t>
      </w:r>
      <w:r w:rsidRPr="00CA3F5E">
        <w:rPr>
          <w:rFonts w:ascii="Tahoma" w:hAnsi="Tahoma" w:cs="Tahoma"/>
          <w:color w:val="000000"/>
          <w:kern w:val="0"/>
          <w:sz w:val="21"/>
          <w:szCs w:val="21"/>
        </w:rPr>
        <w:t>等精准引才模式，引进拥有核心技术、产业带动力强的创新项目及创新团队，聘任国际公认的三大世界最新排名均在前</w:t>
      </w:r>
      <w:r w:rsidRPr="00CA3F5E">
        <w:rPr>
          <w:rFonts w:ascii="Tahoma" w:hAnsi="Tahoma" w:cs="Tahoma"/>
          <w:color w:val="000000"/>
          <w:kern w:val="0"/>
          <w:sz w:val="21"/>
          <w:szCs w:val="21"/>
        </w:rPr>
        <w:t>100</w:t>
      </w:r>
      <w:r w:rsidRPr="00CA3F5E">
        <w:rPr>
          <w:rFonts w:ascii="Tahoma" w:hAnsi="Tahoma" w:cs="Tahoma"/>
          <w:color w:val="000000"/>
          <w:kern w:val="0"/>
          <w:sz w:val="21"/>
          <w:szCs w:val="21"/>
        </w:rPr>
        <w:t>名大学的博士毕业生的，优先享受市委、市政府《关于实施人才</w:t>
      </w:r>
      <w:r w:rsidRPr="00CA3F5E">
        <w:rPr>
          <w:rFonts w:ascii="Tahoma" w:hAnsi="Tahoma" w:cs="Tahoma"/>
          <w:color w:val="000000"/>
          <w:kern w:val="0"/>
          <w:sz w:val="21"/>
          <w:szCs w:val="21"/>
        </w:rPr>
        <w:t>“</w:t>
      </w:r>
      <w:r w:rsidRPr="00CA3F5E">
        <w:rPr>
          <w:rFonts w:ascii="Tahoma" w:hAnsi="Tahoma" w:cs="Tahoma"/>
          <w:color w:val="000000"/>
          <w:kern w:val="0"/>
          <w:sz w:val="21"/>
          <w:szCs w:val="21"/>
        </w:rPr>
        <w:t>港湾计划</w:t>
      </w:r>
      <w:r w:rsidRPr="00CA3F5E">
        <w:rPr>
          <w:rFonts w:ascii="Tahoma" w:hAnsi="Tahoma" w:cs="Tahoma"/>
          <w:color w:val="000000"/>
          <w:kern w:val="0"/>
          <w:sz w:val="21"/>
          <w:szCs w:val="21"/>
        </w:rPr>
        <w:t>”</w:t>
      </w:r>
      <w:r w:rsidRPr="00CA3F5E">
        <w:rPr>
          <w:rFonts w:ascii="Tahoma" w:hAnsi="Tahoma" w:cs="Tahoma"/>
          <w:color w:val="000000"/>
          <w:kern w:val="0"/>
          <w:sz w:val="21"/>
          <w:szCs w:val="21"/>
        </w:rPr>
        <w:t>的若干意见》（泉委发〔</w:t>
      </w:r>
      <w:r w:rsidRPr="00CA3F5E">
        <w:rPr>
          <w:rFonts w:ascii="Tahoma" w:hAnsi="Tahoma" w:cs="Tahoma"/>
          <w:color w:val="000000"/>
          <w:kern w:val="0"/>
          <w:sz w:val="21"/>
          <w:szCs w:val="21"/>
        </w:rPr>
        <w:t>2017</w:t>
      </w:r>
      <w:r w:rsidRPr="00CA3F5E">
        <w:rPr>
          <w:rFonts w:ascii="Tahoma" w:hAnsi="Tahoma" w:cs="Tahoma"/>
          <w:color w:val="000000"/>
          <w:kern w:val="0"/>
          <w:sz w:val="21"/>
          <w:szCs w:val="21"/>
        </w:rPr>
        <w:t>〕</w:t>
      </w:r>
      <w:r w:rsidRPr="00CA3F5E">
        <w:rPr>
          <w:rFonts w:ascii="Tahoma" w:hAnsi="Tahoma" w:cs="Tahoma"/>
          <w:color w:val="000000"/>
          <w:kern w:val="0"/>
          <w:sz w:val="21"/>
          <w:szCs w:val="21"/>
        </w:rPr>
        <w:t>6</w:t>
      </w:r>
      <w:r w:rsidRPr="00CA3F5E">
        <w:rPr>
          <w:rFonts w:ascii="Tahoma" w:hAnsi="Tahoma" w:cs="Tahoma"/>
          <w:color w:val="000000"/>
          <w:kern w:val="0"/>
          <w:sz w:val="21"/>
          <w:szCs w:val="21"/>
        </w:rPr>
        <w:t>号）有关政策。对有突出贡献和重大影响力的高层次人才（团队），可根据实际需要，</w:t>
      </w:r>
      <w:r w:rsidRPr="00CA3F5E">
        <w:rPr>
          <w:rFonts w:ascii="Tahoma" w:hAnsi="Tahoma" w:cs="Tahoma"/>
          <w:color w:val="000000"/>
          <w:kern w:val="0"/>
          <w:sz w:val="21"/>
          <w:szCs w:val="21"/>
        </w:rPr>
        <w:t>“</w:t>
      </w:r>
      <w:r w:rsidRPr="00CA3F5E">
        <w:rPr>
          <w:rFonts w:ascii="Tahoma" w:hAnsi="Tahoma" w:cs="Tahoma"/>
          <w:color w:val="000000"/>
          <w:kern w:val="0"/>
          <w:sz w:val="21"/>
          <w:szCs w:val="21"/>
        </w:rPr>
        <w:t>一事一议</w:t>
      </w:r>
      <w:r w:rsidRPr="00CA3F5E">
        <w:rPr>
          <w:rFonts w:ascii="Tahoma" w:hAnsi="Tahoma" w:cs="Tahoma"/>
          <w:color w:val="000000"/>
          <w:kern w:val="0"/>
          <w:sz w:val="21"/>
          <w:szCs w:val="21"/>
        </w:rPr>
        <w:t>”</w:t>
      </w:r>
      <w:r w:rsidRPr="00CA3F5E">
        <w:rPr>
          <w:rFonts w:ascii="Tahoma" w:hAnsi="Tahoma" w:cs="Tahoma"/>
          <w:color w:val="000000"/>
          <w:kern w:val="0"/>
          <w:sz w:val="21"/>
          <w:szCs w:val="21"/>
        </w:rPr>
        <w:t>追加支持。</w:t>
      </w:r>
    </w:p>
    <w:p w14:paraId="132A53AF"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59D91566"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（责任单位：市委人才办，市财政局、科技局、教育局、人社局）</w:t>
      </w:r>
      <w:r w:rsidRPr="00CA3F5E">
        <w:rPr>
          <w:rFonts w:ascii="Tahoma" w:hAnsi="Tahoma" w:cs="Tahoma"/>
          <w:color w:val="000000"/>
          <w:kern w:val="0"/>
          <w:sz w:val="21"/>
          <w:szCs w:val="21"/>
        </w:rPr>
        <w:t> </w:t>
      </w:r>
    </w:p>
    <w:p w14:paraId="7816C610"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CB9561E"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鼓励新型研发机构通过收益分成、股权奖励、股权出售、期权奖励、分红奖励等方式，对科技成果完成及成果转移转化作出重要贡献的科技人员进行激励。</w:t>
      </w:r>
    </w:p>
    <w:p w14:paraId="0D296B95"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910ECD4"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（责任单位：市委人才办，市人社局、科技局）</w:t>
      </w:r>
    </w:p>
    <w:p w14:paraId="695A2F3F"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3D3608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3.</w:t>
      </w:r>
      <w:r w:rsidRPr="00CA3F5E">
        <w:rPr>
          <w:rFonts w:ascii="Tahoma" w:hAnsi="Tahoma" w:cs="Tahoma"/>
          <w:color w:val="000000"/>
          <w:kern w:val="0"/>
          <w:sz w:val="21"/>
          <w:szCs w:val="21"/>
        </w:rPr>
        <w:t>加强对新型研发机构引进人才的服务，拓宽引进首席科学家等海内外高层次和高技能人才的</w:t>
      </w:r>
      <w:r w:rsidRPr="00CA3F5E">
        <w:rPr>
          <w:rFonts w:ascii="Tahoma" w:hAnsi="Tahoma" w:cs="Tahoma"/>
          <w:color w:val="000000"/>
          <w:kern w:val="0"/>
          <w:sz w:val="21"/>
          <w:szCs w:val="21"/>
        </w:rPr>
        <w:t>“</w:t>
      </w:r>
      <w:r w:rsidRPr="00CA3F5E">
        <w:rPr>
          <w:rFonts w:ascii="Tahoma" w:hAnsi="Tahoma" w:cs="Tahoma"/>
          <w:color w:val="000000"/>
          <w:kern w:val="0"/>
          <w:sz w:val="21"/>
          <w:szCs w:val="21"/>
        </w:rPr>
        <w:t>绿色通道</w:t>
      </w:r>
      <w:r w:rsidRPr="00CA3F5E">
        <w:rPr>
          <w:rFonts w:ascii="Tahoma" w:hAnsi="Tahoma" w:cs="Tahoma"/>
          <w:color w:val="000000"/>
          <w:kern w:val="0"/>
          <w:sz w:val="21"/>
          <w:szCs w:val="21"/>
        </w:rPr>
        <w:t>”</w:t>
      </w:r>
      <w:r w:rsidRPr="00CA3F5E">
        <w:rPr>
          <w:rFonts w:ascii="Tahoma" w:hAnsi="Tahoma" w:cs="Tahoma"/>
          <w:color w:val="000000"/>
          <w:kern w:val="0"/>
          <w:sz w:val="21"/>
          <w:szCs w:val="21"/>
        </w:rPr>
        <w:t>，在出入境和居留、配偶随迁、子女就学、社会保险、职称评定等方面提供快捷高效服务。大力支持各级科技等部门组织引导我市企业在本市以外（境外）投资设立新型研发机构，对其办理出境活动次数适当放宽。</w:t>
      </w:r>
    </w:p>
    <w:p w14:paraId="1F29D576"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22EEC3DF"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（责任单位：市委人才办，市人社局、科技局、教育局、外事侨务办）</w:t>
      </w:r>
    </w:p>
    <w:p w14:paraId="3CDCF7B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418CA35"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（三）促进新型研发机构创新成果加速转移转化</w:t>
      </w:r>
    </w:p>
    <w:p w14:paraId="4611FDBD"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B40152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新型研发机构的科技成果转化参照《福建省人民政府关于印发福建省进一步促进科技成果转移转化若干规定的通知》（闽政〔</w:t>
      </w:r>
      <w:r w:rsidRPr="00CA3F5E">
        <w:rPr>
          <w:rFonts w:ascii="Tahoma" w:hAnsi="Tahoma" w:cs="Tahoma"/>
          <w:color w:val="000000"/>
          <w:kern w:val="0"/>
          <w:sz w:val="21"/>
          <w:szCs w:val="21"/>
        </w:rPr>
        <w:t>2016</w:t>
      </w:r>
      <w:r w:rsidRPr="00CA3F5E">
        <w:rPr>
          <w:rFonts w:ascii="Tahoma" w:hAnsi="Tahoma" w:cs="Tahoma"/>
          <w:color w:val="000000"/>
          <w:kern w:val="0"/>
          <w:sz w:val="21"/>
          <w:szCs w:val="21"/>
        </w:rPr>
        <w:t>〕</w:t>
      </w:r>
      <w:r w:rsidRPr="00CA3F5E">
        <w:rPr>
          <w:rFonts w:ascii="Tahoma" w:hAnsi="Tahoma" w:cs="Tahoma"/>
          <w:color w:val="000000"/>
          <w:kern w:val="0"/>
          <w:sz w:val="21"/>
          <w:szCs w:val="21"/>
        </w:rPr>
        <w:t>33</w:t>
      </w:r>
      <w:r w:rsidRPr="00CA3F5E">
        <w:rPr>
          <w:rFonts w:ascii="Tahoma" w:hAnsi="Tahoma" w:cs="Tahoma"/>
          <w:color w:val="000000"/>
          <w:kern w:val="0"/>
          <w:sz w:val="21"/>
          <w:szCs w:val="21"/>
        </w:rPr>
        <w:t>号）有关政策执行。新型研发机构科研人员参与职称评审与岗位考核时，发明专利转化应用情况可折算论文指标，技术转让成交额可折算纵向课题指标。鼓励各县（市、区）探索建立新型研发机构</w:t>
      </w:r>
      <w:r w:rsidRPr="00CA3F5E">
        <w:rPr>
          <w:rFonts w:ascii="Tahoma" w:hAnsi="Tahoma" w:cs="Tahoma"/>
          <w:color w:val="000000"/>
          <w:kern w:val="0"/>
          <w:sz w:val="21"/>
          <w:szCs w:val="21"/>
        </w:rPr>
        <w:t>+</w:t>
      </w:r>
      <w:r w:rsidRPr="00CA3F5E">
        <w:rPr>
          <w:rFonts w:ascii="Tahoma" w:hAnsi="Tahoma" w:cs="Tahoma"/>
          <w:color w:val="000000"/>
          <w:kern w:val="0"/>
          <w:sz w:val="21"/>
          <w:szCs w:val="21"/>
        </w:rPr>
        <w:t>科技企业孵化器（众创空间）</w:t>
      </w:r>
      <w:r w:rsidRPr="00CA3F5E">
        <w:rPr>
          <w:rFonts w:ascii="Tahoma" w:hAnsi="Tahoma" w:cs="Tahoma"/>
          <w:color w:val="000000"/>
          <w:kern w:val="0"/>
          <w:sz w:val="21"/>
          <w:szCs w:val="21"/>
        </w:rPr>
        <w:t>+</w:t>
      </w:r>
      <w:r w:rsidRPr="00CA3F5E">
        <w:rPr>
          <w:rFonts w:ascii="Tahoma" w:hAnsi="Tahoma" w:cs="Tahoma"/>
          <w:color w:val="000000"/>
          <w:kern w:val="0"/>
          <w:sz w:val="21"/>
          <w:szCs w:val="21"/>
        </w:rPr>
        <w:t>中试基地（产业化基地）的创新生态园区，经认定的省级科技企业孵化（众创空间），按照《福建省科技企业孵化器新增孵化用房补助办法》</w:t>
      </w:r>
      <w:r w:rsidRPr="00CA3F5E">
        <w:rPr>
          <w:rFonts w:ascii="Tahoma" w:hAnsi="Tahoma" w:cs="Tahoma"/>
          <w:color w:val="000000"/>
          <w:kern w:val="0"/>
          <w:sz w:val="21"/>
          <w:szCs w:val="21"/>
        </w:rPr>
        <w:t>“</w:t>
      </w:r>
      <w:r w:rsidRPr="00CA3F5E">
        <w:rPr>
          <w:rFonts w:ascii="Tahoma" w:hAnsi="Tahoma" w:cs="Tahoma"/>
          <w:color w:val="000000"/>
          <w:kern w:val="0"/>
          <w:sz w:val="21"/>
          <w:szCs w:val="21"/>
        </w:rPr>
        <w:t>省、市分别承担</w:t>
      </w:r>
      <w:r w:rsidRPr="00CA3F5E">
        <w:rPr>
          <w:rFonts w:ascii="Tahoma" w:hAnsi="Tahoma" w:cs="Tahoma"/>
          <w:color w:val="000000"/>
          <w:kern w:val="0"/>
          <w:sz w:val="21"/>
          <w:szCs w:val="21"/>
        </w:rPr>
        <w:t>60%</w:t>
      </w:r>
      <w:r w:rsidRPr="00CA3F5E">
        <w:rPr>
          <w:rFonts w:ascii="Tahoma" w:hAnsi="Tahoma" w:cs="Tahoma"/>
          <w:color w:val="000000"/>
          <w:kern w:val="0"/>
          <w:sz w:val="21"/>
          <w:szCs w:val="21"/>
        </w:rPr>
        <w:t>和</w:t>
      </w:r>
      <w:r w:rsidRPr="00CA3F5E">
        <w:rPr>
          <w:rFonts w:ascii="Tahoma" w:hAnsi="Tahoma" w:cs="Tahoma"/>
          <w:color w:val="000000"/>
          <w:kern w:val="0"/>
          <w:sz w:val="21"/>
          <w:szCs w:val="21"/>
        </w:rPr>
        <w:t>40%”</w:t>
      </w:r>
      <w:r w:rsidRPr="00CA3F5E">
        <w:rPr>
          <w:rFonts w:ascii="Tahoma" w:hAnsi="Tahoma" w:cs="Tahoma"/>
          <w:color w:val="000000"/>
          <w:kern w:val="0"/>
          <w:sz w:val="21"/>
          <w:szCs w:val="21"/>
        </w:rPr>
        <w:t>的补助要求，新建的按</w:t>
      </w:r>
      <w:r w:rsidRPr="00CA3F5E">
        <w:rPr>
          <w:rFonts w:ascii="Tahoma" w:hAnsi="Tahoma" w:cs="Tahoma"/>
          <w:color w:val="000000"/>
          <w:kern w:val="0"/>
          <w:sz w:val="21"/>
          <w:szCs w:val="21"/>
        </w:rPr>
        <w:t>100</w:t>
      </w:r>
      <w:r w:rsidRPr="00CA3F5E">
        <w:rPr>
          <w:rFonts w:ascii="Tahoma" w:hAnsi="Tahoma" w:cs="Tahoma"/>
          <w:color w:val="000000"/>
          <w:kern w:val="0"/>
          <w:sz w:val="21"/>
          <w:szCs w:val="21"/>
        </w:rPr>
        <w:t>元</w:t>
      </w:r>
      <w:r w:rsidRPr="00CA3F5E">
        <w:rPr>
          <w:rFonts w:ascii="Tahoma" w:hAnsi="Tahoma" w:cs="Tahoma"/>
          <w:color w:val="000000"/>
          <w:kern w:val="0"/>
          <w:sz w:val="21"/>
          <w:szCs w:val="21"/>
        </w:rPr>
        <w:t>/</w:t>
      </w:r>
      <w:r w:rsidRPr="00CA3F5E">
        <w:rPr>
          <w:rFonts w:ascii="Tahoma" w:hAnsi="Tahoma" w:cs="Tahoma"/>
          <w:color w:val="000000"/>
          <w:kern w:val="0"/>
          <w:sz w:val="21"/>
          <w:szCs w:val="21"/>
        </w:rPr>
        <w:t>平方米、最高</w:t>
      </w:r>
      <w:r w:rsidRPr="00CA3F5E">
        <w:rPr>
          <w:rFonts w:ascii="Tahoma" w:hAnsi="Tahoma" w:cs="Tahoma"/>
          <w:color w:val="000000"/>
          <w:kern w:val="0"/>
          <w:sz w:val="21"/>
          <w:szCs w:val="21"/>
        </w:rPr>
        <w:t>100</w:t>
      </w:r>
      <w:r w:rsidRPr="00CA3F5E">
        <w:rPr>
          <w:rFonts w:ascii="Tahoma" w:hAnsi="Tahoma" w:cs="Tahoma"/>
          <w:color w:val="000000"/>
          <w:kern w:val="0"/>
          <w:sz w:val="21"/>
          <w:szCs w:val="21"/>
        </w:rPr>
        <w:t>万元，改扩建按</w:t>
      </w:r>
      <w:r w:rsidRPr="00CA3F5E">
        <w:rPr>
          <w:rFonts w:ascii="Tahoma" w:hAnsi="Tahoma" w:cs="Tahoma"/>
          <w:color w:val="000000"/>
          <w:kern w:val="0"/>
          <w:sz w:val="21"/>
          <w:szCs w:val="21"/>
        </w:rPr>
        <w:t>50</w:t>
      </w:r>
      <w:r w:rsidRPr="00CA3F5E">
        <w:rPr>
          <w:rFonts w:ascii="Tahoma" w:hAnsi="Tahoma" w:cs="Tahoma"/>
          <w:color w:val="000000"/>
          <w:kern w:val="0"/>
          <w:sz w:val="21"/>
          <w:szCs w:val="21"/>
        </w:rPr>
        <w:t>元</w:t>
      </w:r>
      <w:r w:rsidRPr="00CA3F5E">
        <w:rPr>
          <w:rFonts w:ascii="Tahoma" w:hAnsi="Tahoma" w:cs="Tahoma"/>
          <w:color w:val="000000"/>
          <w:kern w:val="0"/>
          <w:sz w:val="21"/>
          <w:szCs w:val="21"/>
        </w:rPr>
        <w:t>/</w:t>
      </w:r>
      <w:r w:rsidRPr="00CA3F5E">
        <w:rPr>
          <w:rFonts w:ascii="Tahoma" w:hAnsi="Tahoma" w:cs="Tahoma"/>
          <w:color w:val="000000"/>
          <w:kern w:val="0"/>
          <w:sz w:val="21"/>
          <w:szCs w:val="21"/>
        </w:rPr>
        <w:t>平方米、最高</w:t>
      </w:r>
      <w:r w:rsidRPr="00CA3F5E">
        <w:rPr>
          <w:rFonts w:ascii="Tahoma" w:hAnsi="Tahoma" w:cs="Tahoma"/>
          <w:color w:val="000000"/>
          <w:kern w:val="0"/>
          <w:sz w:val="21"/>
          <w:szCs w:val="21"/>
        </w:rPr>
        <w:t>50</w:t>
      </w:r>
      <w:r w:rsidRPr="00CA3F5E">
        <w:rPr>
          <w:rFonts w:ascii="Tahoma" w:hAnsi="Tahoma" w:cs="Tahoma"/>
          <w:color w:val="000000"/>
          <w:kern w:val="0"/>
          <w:sz w:val="21"/>
          <w:szCs w:val="21"/>
        </w:rPr>
        <w:t>万元的标准给予补助。</w:t>
      </w:r>
    </w:p>
    <w:p w14:paraId="247741D2"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E24DCE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（责任单位：市科技局、人社局、财政局）</w:t>
      </w:r>
    </w:p>
    <w:p w14:paraId="373C1616"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728275B"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支持新型研发机构产品加入国家节能产品、环境标志产品等政府采购清单，享受相应优惠政策。鼓励新型研发机构研究开发首台（套）重大技术装备，对在原理、结构、性能等方面有重大创新的首台（套）数控装备、成套设备、单台设备、关键零部件或总集成项目，按其研发投入的</w:t>
      </w:r>
      <w:r w:rsidRPr="00CA3F5E">
        <w:rPr>
          <w:rFonts w:ascii="Tahoma" w:hAnsi="Tahoma" w:cs="Tahoma"/>
          <w:color w:val="000000"/>
          <w:kern w:val="0"/>
          <w:sz w:val="21"/>
          <w:szCs w:val="21"/>
        </w:rPr>
        <w:t>30%</w:t>
      </w:r>
      <w:r w:rsidRPr="00CA3F5E">
        <w:rPr>
          <w:rFonts w:ascii="Tahoma" w:hAnsi="Tahoma" w:cs="Tahoma"/>
          <w:color w:val="000000"/>
          <w:kern w:val="0"/>
          <w:sz w:val="21"/>
          <w:szCs w:val="21"/>
        </w:rPr>
        <w:t>给予一次性补助，最高补助金额不超过</w:t>
      </w:r>
      <w:r w:rsidRPr="00CA3F5E">
        <w:rPr>
          <w:rFonts w:ascii="Tahoma" w:hAnsi="Tahoma" w:cs="Tahoma"/>
          <w:color w:val="000000"/>
          <w:kern w:val="0"/>
          <w:sz w:val="21"/>
          <w:szCs w:val="21"/>
        </w:rPr>
        <w:t>100</w:t>
      </w:r>
      <w:r w:rsidRPr="00CA3F5E">
        <w:rPr>
          <w:rFonts w:ascii="Tahoma" w:hAnsi="Tahoma" w:cs="Tahoma"/>
          <w:color w:val="000000"/>
          <w:kern w:val="0"/>
          <w:sz w:val="21"/>
          <w:szCs w:val="21"/>
        </w:rPr>
        <w:t>万元。</w:t>
      </w:r>
    </w:p>
    <w:p w14:paraId="7A7A8DF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AA560F9"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（责任单位：市经信委、财政局）</w:t>
      </w:r>
    </w:p>
    <w:p w14:paraId="4586104A"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32BCCEF"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3.</w:t>
      </w:r>
      <w:r w:rsidRPr="00CA3F5E">
        <w:rPr>
          <w:rFonts w:ascii="Tahoma" w:hAnsi="Tahoma" w:cs="Tahoma"/>
          <w:color w:val="000000"/>
          <w:kern w:val="0"/>
          <w:sz w:val="21"/>
          <w:szCs w:val="21"/>
        </w:rPr>
        <w:t>鼓励高校、科研院所科研人员在征得所在单位同意后，可带项目和成果、保留基本待遇，离岗创办新型研发机构，或到新型研发机构工作。离岗创新创业期限以</w:t>
      </w:r>
      <w:r w:rsidRPr="00CA3F5E">
        <w:rPr>
          <w:rFonts w:ascii="Tahoma" w:hAnsi="Tahoma" w:cs="Tahoma"/>
          <w:color w:val="000000"/>
          <w:kern w:val="0"/>
          <w:sz w:val="21"/>
          <w:szCs w:val="21"/>
        </w:rPr>
        <w:t>3</w:t>
      </w:r>
      <w:r w:rsidRPr="00CA3F5E">
        <w:rPr>
          <w:rFonts w:ascii="Tahoma" w:hAnsi="Tahoma" w:cs="Tahoma"/>
          <w:color w:val="000000"/>
          <w:kern w:val="0"/>
          <w:sz w:val="21"/>
          <w:szCs w:val="21"/>
        </w:rPr>
        <w:t>年为一期，最多不超过两期。返回原单位时接续计算工龄，待遇和聘任岗位等级不降低。</w:t>
      </w:r>
    </w:p>
    <w:p w14:paraId="0261D5CE"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E53DF4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（责任单位：市人社局、教育局、科技局）</w:t>
      </w:r>
    </w:p>
    <w:p w14:paraId="72AA984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5A04CE3"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（四）加大新型研发机构知识产权运用和保护</w:t>
      </w:r>
    </w:p>
    <w:p w14:paraId="41B24E65"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0765FCA"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引导新型研发机构建立知识产权管理与激励机制并有效运行。设立知识产权管理机构、配备知识产权专员，推动获评新型研发机构的企业贯彻执行《企业知识产权管理规范》国家标准，促进知识产权高效利用，对新通过贯标认定的，按照有关规定给予补助。引导新型研发机构与高等院校、科研院所、知识产权中介机构建立协同协作工作机制，提升专利创造和运用水平，对获得授权发明专利的，按照有关规定给予资助。开展专利信息分析利用工作，有效挖掘发明专利资源，提高研发水平，促进专利技术转化实施。探索建立新型研发机构知识产权运营平台，完善知识产权交易、维权援助体系建设，加强专利权、商标权、版权（著作权）等知识产权保护。</w:t>
      </w:r>
    </w:p>
    <w:p w14:paraId="0845C631"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7D0F86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（责任单位：市知识产权局、公安局、文广新局、工商局，各县（市、区）人民政府，泉州开发区、泉州台商投资区管委会）</w:t>
      </w:r>
    </w:p>
    <w:p w14:paraId="26D56C05"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649DBA14"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鼓励专利技术转移转化，对在泉州注册具有法人资格的企业购买市级以上新型研发机构专利技术，交易额单项达</w:t>
      </w:r>
      <w:r w:rsidRPr="00CA3F5E">
        <w:rPr>
          <w:rFonts w:ascii="Tahoma" w:hAnsi="Tahoma" w:cs="Tahoma"/>
          <w:color w:val="000000"/>
          <w:kern w:val="0"/>
          <w:sz w:val="21"/>
          <w:szCs w:val="21"/>
        </w:rPr>
        <w:t>20</w:t>
      </w:r>
      <w:r w:rsidRPr="00CA3F5E">
        <w:rPr>
          <w:rFonts w:ascii="Tahoma" w:hAnsi="Tahoma" w:cs="Tahoma"/>
          <w:color w:val="000000"/>
          <w:kern w:val="0"/>
          <w:sz w:val="21"/>
          <w:szCs w:val="21"/>
        </w:rPr>
        <w:t>万元以上，属非关联交易并实施转化的，经认定，按技术交易额的</w:t>
      </w:r>
      <w:r w:rsidRPr="00CA3F5E">
        <w:rPr>
          <w:rFonts w:ascii="Tahoma" w:hAnsi="Tahoma" w:cs="Tahoma"/>
          <w:color w:val="000000"/>
          <w:kern w:val="0"/>
          <w:sz w:val="21"/>
          <w:szCs w:val="21"/>
        </w:rPr>
        <w:t>10%</w:t>
      </w:r>
      <w:r w:rsidRPr="00CA3F5E">
        <w:rPr>
          <w:rFonts w:ascii="Tahoma" w:hAnsi="Tahoma" w:cs="Tahoma"/>
          <w:color w:val="000000"/>
          <w:kern w:val="0"/>
          <w:sz w:val="21"/>
          <w:szCs w:val="21"/>
        </w:rPr>
        <w:t>给予补助，单家企业同一年度补助金额最高不超过</w:t>
      </w:r>
      <w:r w:rsidRPr="00CA3F5E">
        <w:rPr>
          <w:rFonts w:ascii="Tahoma" w:hAnsi="Tahoma" w:cs="Tahoma"/>
          <w:color w:val="000000"/>
          <w:kern w:val="0"/>
          <w:sz w:val="21"/>
          <w:szCs w:val="21"/>
        </w:rPr>
        <w:t>20</w:t>
      </w:r>
      <w:r w:rsidRPr="00CA3F5E">
        <w:rPr>
          <w:rFonts w:ascii="Tahoma" w:hAnsi="Tahoma" w:cs="Tahoma"/>
          <w:color w:val="000000"/>
          <w:kern w:val="0"/>
          <w:sz w:val="21"/>
          <w:szCs w:val="21"/>
        </w:rPr>
        <w:t>万元。对市级以上新型科研机构每年转让或许可专利给市内</w:t>
      </w:r>
      <w:r w:rsidRPr="00CA3F5E">
        <w:rPr>
          <w:rFonts w:ascii="Tahoma" w:hAnsi="Tahoma" w:cs="Tahoma"/>
          <w:color w:val="000000"/>
          <w:kern w:val="0"/>
          <w:sz w:val="21"/>
          <w:szCs w:val="21"/>
        </w:rPr>
        <w:t>5</w:t>
      </w:r>
      <w:r w:rsidRPr="00CA3F5E">
        <w:rPr>
          <w:rFonts w:ascii="Tahoma" w:hAnsi="Tahoma" w:cs="Tahoma"/>
          <w:color w:val="000000"/>
          <w:kern w:val="0"/>
          <w:sz w:val="21"/>
          <w:szCs w:val="21"/>
        </w:rPr>
        <w:t>家以上企业，且每项专利转让或许可的合同金额</w:t>
      </w:r>
      <w:r w:rsidRPr="00CA3F5E">
        <w:rPr>
          <w:rFonts w:ascii="Tahoma" w:hAnsi="Tahoma" w:cs="Tahoma"/>
          <w:color w:val="000000"/>
          <w:kern w:val="0"/>
          <w:sz w:val="21"/>
          <w:szCs w:val="21"/>
        </w:rPr>
        <w:t>10</w:t>
      </w:r>
      <w:r w:rsidRPr="00CA3F5E">
        <w:rPr>
          <w:rFonts w:ascii="Tahoma" w:hAnsi="Tahoma" w:cs="Tahoma"/>
          <w:color w:val="000000"/>
          <w:kern w:val="0"/>
          <w:sz w:val="21"/>
          <w:szCs w:val="21"/>
        </w:rPr>
        <w:t>万元以上（以专利包方式交易的按</w:t>
      </w:r>
      <w:r w:rsidRPr="00CA3F5E">
        <w:rPr>
          <w:rFonts w:ascii="Tahoma" w:hAnsi="Tahoma" w:cs="Tahoma"/>
          <w:color w:val="000000"/>
          <w:kern w:val="0"/>
          <w:sz w:val="21"/>
          <w:szCs w:val="21"/>
        </w:rPr>
        <w:t>1</w:t>
      </w:r>
      <w:r w:rsidRPr="00CA3F5E">
        <w:rPr>
          <w:rFonts w:ascii="Tahoma" w:hAnsi="Tahoma" w:cs="Tahoma"/>
          <w:color w:val="000000"/>
          <w:kern w:val="0"/>
          <w:sz w:val="21"/>
          <w:szCs w:val="21"/>
        </w:rPr>
        <w:t>项专利计算）的，按每项合同金额的</w:t>
      </w:r>
      <w:r w:rsidRPr="00CA3F5E">
        <w:rPr>
          <w:rFonts w:ascii="Tahoma" w:hAnsi="Tahoma" w:cs="Tahoma"/>
          <w:color w:val="000000"/>
          <w:kern w:val="0"/>
          <w:sz w:val="21"/>
          <w:szCs w:val="21"/>
        </w:rPr>
        <w:t>10%</w:t>
      </w:r>
      <w:r w:rsidRPr="00CA3F5E">
        <w:rPr>
          <w:rFonts w:ascii="Tahoma" w:hAnsi="Tahoma" w:cs="Tahoma"/>
          <w:color w:val="000000"/>
          <w:kern w:val="0"/>
          <w:sz w:val="21"/>
          <w:szCs w:val="21"/>
        </w:rPr>
        <w:t>给予奖励，每个单位最高不超过</w:t>
      </w:r>
      <w:r w:rsidRPr="00CA3F5E">
        <w:rPr>
          <w:rFonts w:ascii="Tahoma" w:hAnsi="Tahoma" w:cs="Tahoma"/>
          <w:color w:val="000000"/>
          <w:kern w:val="0"/>
          <w:sz w:val="21"/>
          <w:szCs w:val="21"/>
        </w:rPr>
        <w:t>5</w:t>
      </w:r>
      <w:r w:rsidRPr="00CA3F5E">
        <w:rPr>
          <w:rFonts w:ascii="Tahoma" w:hAnsi="Tahoma" w:cs="Tahoma"/>
          <w:color w:val="000000"/>
          <w:kern w:val="0"/>
          <w:sz w:val="21"/>
          <w:szCs w:val="21"/>
        </w:rPr>
        <w:t>万元。对已享受省级补助的企业不重复补助。将新型研发机构纳入专利权质押融资工作重点支持对象，符合条件的，按专利权质押贷款贴息规定予以补助。</w:t>
      </w:r>
    </w:p>
    <w:p w14:paraId="11F88F4C"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79E1E05"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（责任单位：市知识产权局、财政局、金融工作局）</w:t>
      </w:r>
    </w:p>
    <w:p w14:paraId="57F25D43"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7F0BD11"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（五）优化新型研发机构投融资服务</w:t>
      </w:r>
    </w:p>
    <w:p w14:paraId="3991F3F7"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2F492CD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1.</w:t>
      </w:r>
      <w:r w:rsidRPr="00CA3F5E">
        <w:rPr>
          <w:rFonts w:ascii="Tahoma" w:hAnsi="Tahoma" w:cs="Tahoma"/>
          <w:color w:val="000000"/>
          <w:kern w:val="0"/>
          <w:sz w:val="21"/>
          <w:szCs w:val="21"/>
        </w:rPr>
        <w:t>对创业投资机构投资新型研发机构的，市财政和所在地县（市、区）财政分别给予单个创业投资项目最高不超过项目实际投资额</w:t>
      </w:r>
      <w:r w:rsidRPr="00CA3F5E">
        <w:rPr>
          <w:rFonts w:ascii="Tahoma" w:hAnsi="Tahoma" w:cs="Tahoma"/>
          <w:color w:val="000000"/>
          <w:kern w:val="0"/>
          <w:sz w:val="21"/>
          <w:szCs w:val="21"/>
        </w:rPr>
        <w:t>5%</w:t>
      </w:r>
      <w:r w:rsidRPr="00CA3F5E">
        <w:rPr>
          <w:rFonts w:ascii="Tahoma" w:hAnsi="Tahoma" w:cs="Tahoma"/>
          <w:color w:val="000000"/>
          <w:kern w:val="0"/>
          <w:sz w:val="21"/>
          <w:szCs w:val="21"/>
        </w:rPr>
        <w:t>和</w:t>
      </w:r>
      <w:r w:rsidRPr="00CA3F5E">
        <w:rPr>
          <w:rFonts w:ascii="Tahoma" w:hAnsi="Tahoma" w:cs="Tahoma"/>
          <w:color w:val="000000"/>
          <w:kern w:val="0"/>
          <w:sz w:val="21"/>
          <w:szCs w:val="21"/>
        </w:rPr>
        <w:t>10%</w:t>
      </w:r>
      <w:r w:rsidRPr="00CA3F5E">
        <w:rPr>
          <w:rFonts w:ascii="Tahoma" w:hAnsi="Tahoma" w:cs="Tahoma"/>
          <w:color w:val="000000"/>
          <w:kern w:val="0"/>
          <w:sz w:val="21"/>
          <w:szCs w:val="21"/>
        </w:rPr>
        <w:t>比例的风险补助，市财政单个创业投资项目风险补助金额最高不超过</w:t>
      </w:r>
      <w:r w:rsidRPr="00CA3F5E">
        <w:rPr>
          <w:rFonts w:ascii="Tahoma" w:hAnsi="Tahoma" w:cs="Tahoma"/>
          <w:color w:val="000000"/>
          <w:kern w:val="0"/>
          <w:sz w:val="21"/>
          <w:szCs w:val="21"/>
        </w:rPr>
        <w:t>100</w:t>
      </w:r>
      <w:r w:rsidRPr="00CA3F5E">
        <w:rPr>
          <w:rFonts w:ascii="Tahoma" w:hAnsi="Tahoma" w:cs="Tahoma"/>
          <w:color w:val="000000"/>
          <w:kern w:val="0"/>
          <w:sz w:val="21"/>
          <w:szCs w:val="21"/>
        </w:rPr>
        <w:t>万元。各县（市、区）财政单个创业投资项目风险补助最高限额自行确定。</w:t>
      </w:r>
    </w:p>
    <w:p w14:paraId="2548F87D"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B718D7A"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（责任单位：市科技局、金融工作局、发改委、财政局，各县（市、区）人民政府，泉州开发区、泉州台商投资区管委会）</w:t>
      </w:r>
    </w:p>
    <w:p w14:paraId="4E4D78C1"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D1E72A3"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2.</w:t>
      </w:r>
      <w:r w:rsidRPr="00CA3F5E">
        <w:rPr>
          <w:rFonts w:ascii="Tahoma" w:hAnsi="Tahoma" w:cs="Tahoma"/>
          <w:color w:val="000000"/>
          <w:kern w:val="0"/>
          <w:sz w:val="21"/>
          <w:szCs w:val="21"/>
        </w:rPr>
        <w:t>支持获评新型研发机构的企业进入全国中小企业股份转让系统挂牌融资，鼓励创新创业投资、知识产权质押融资、科技保险、股权融资交易、科技担保等科技金融业为加速新型研发机构科技成果转化提供融资服务。支持非企业类新型研发机构通过投资设立企业等方式进行市场化运作，激发科研人员创新创业活力，优化创新资源配置，提高创新效率。</w:t>
      </w:r>
    </w:p>
    <w:p w14:paraId="6420879E"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EFF9F46"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（责任单位：市金融工作局、财政局）</w:t>
      </w:r>
    </w:p>
    <w:p w14:paraId="3F8E295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BD460BE"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四、保障新型研发机构加快创新发展</w:t>
      </w:r>
    </w:p>
    <w:p w14:paraId="2D904213"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12439FB5"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一）对新型研发机构建设发展项目用地，在年度用地计划指标中给予优先安排，及时审批。对为工业生产配套的新型研发机构项目用地，执行工业用地政策。符合国家和省有关规定的非营利性科研机构自用的房产、土地，免征房产税、城镇土地使用税。按照房产税、城镇土地使用税条例、细则及相关规定，属于重点扶持产业方向且符合困难减免税有关规定的，可向主管税务机关提出减免税申请，经核准，可给予减税或免税。</w:t>
      </w:r>
    </w:p>
    <w:p w14:paraId="47529D33"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47657B14"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（责任单位：市国土资源局、住建局，市国税局、地税局，各县（市、区）人民政府，泉州开发区、泉州台商投资区管委会）</w:t>
      </w:r>
    </w:p>
    <w:p w14:paraId="1B2F880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982659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（二）加大新型研发机构购置研发设备补助力度。市财政对经认定的初创期（一般为五年）省级新型研发机构每年度按非财政资金购入科研仪器、设备和软件购置经费</w:t>
      </w:r>
      <w:r w:rsidRPr="00CA3F5E">
        <w:rPr>
          <w:rFonts w:ascii="Tahoma" w:hAnsi="Tahoma" w:cs="Tahoma"/>
          <w:color w:val="000000"/>
          <w:kern w:val="0"/>
          <w:sz w:val="21"/>
          <w:szCs w:val="21"/>
        </w:rPr>
        <w:t>12.5%</w:t>
      </w:r>
      <w:r w:rsidRPr="00CA3F5E">
        <w:rPr>
          <w:rFonts w:ascii="Tahoma" w:hAnsi="Tahoma" w:cs="Tahoma"/>
          <w:color w:val="000000"/>
          <w:kern w:val="0"/>
          <w:sz w:val="21"/>
          <w:szCs w:val="21"/>
        </w:rPr>
        <w:t>，一次性给予最高不超过</w:t>
      </w:r>
      <w:r w:rsidRPr="00CA3F5E">
        <w:rPr>
          <w:rFonts w:ascii="Tahoma" w:hAnsi="Tahoma" w:cs="Tahoma"/>
          <w:color w:val="000000"/>
          <w:kern w:val="0"/>
          <w:sz w:val="21"/>
          <w:szCs w:val="21"/>
        </w:rPr>
        <w:t>250</w:t>
      </w:r>
      <w:r w:rsidRPr="00CA3F5E">
        <w:rPr>
          <w:rFonts w:ascii="Tahoma" w:hAnsi="Tahoma" w:cs="Tahoma"/>
          <w:color w:val="000000"/>
          <w:kern w:val="0"/>
          <w:sz w:val="21"/>
          <w:szCs w:val="21"/>
        </w:rPr>
        <w:t>万元的后补助。对于认定命名时已过初创期的新型研发机构，按照竞争择优原则，市财政对发展效益较好的省级研发机构，按近</w:t>
      </w:r>
      <w:r w:rsidRPr="00CA3F5E">
        <w:rPr>
          <w:rFonts w:ascii="Tahoma" w:hAnsi="Tahoma" w:cs="Tahoma"/>
          <w:color w:val="000000"/>
          <w:kern w:val="0"/>
          <w:sz w:val="21"/>
          <w:szCs w:val="21"/>
        </w:rPr>
        <w:t>5</w:t>
      </w:r>
      <w:r w:rsidRPr="00CA3F5E">
        <w:rPr>
          <w:rFonts w:ascii="Tahoma" w:hAnsi="Tahoma" w:cs="Tahoma"/>
          <w:color w:val="000000"/>
          <w:kern w:val="0"/>
          <w:sz w:val="21"/>
          <w:szCs w:val="21"/>
        </w:rPr>
        <w:t>年非财政资金购入科研仪器、设备和软件购置经费</w:t>
      </w:r>
      <w:r w:rsidRPr="00CA3F5E">
        <w:rPr>
          <w:rFonts w:ascii="Tahoma" w:hAnsi="Tahoma" w:cs="Tahoma"/>
          <w:color w:val="000000"/>
          <w:kern w:val="0"/>
          <w:sz w:val="21"/>
          <w:szCs w:val="21"/>
        </w:rPr>
        <w:t>12.5%</w:t>
      </w:r>
      <w:r w:rsidRPr="00CA3F5E">
        <w:rPr>
          <w:rFonts w:ascii="Tahoma" w:hAnsi="Tahoma" w:cs="Tahoma"/>
          <w:color w:val="000000"/>
          <w:kern w:val="0"/>
          <w:sz w:val="21"/>
          <w:szCs w:val="21"/>
        </w:rPr>
        <w:t>，一次性给予最高不超过</w:t>
      </w:r>
      <w:r w:rsidRPr="00CA3F5E">
        <w:rPr>
          <w:rFonts w:ascii="Tahoma" w:hAnsi="Tahoma" w:cs="Tahoma"/>
          <w:color w:val="000000"/>
          <w:kern w:val="0"/>
          <w:sz w:val="21"/>
          <w:szCs w:val="21"/>
        </w:rPr>
        <w:t>500</w:t>
      </w:r>
      <w:r w:rsidRPr="00CA3F5E">
        <w:rPr>
          <w:rFonts w:ascii="Tahoma" w:hAnsi="Tahoma" w:cs="Tahoma"/>
          <w:color w:val="000000"/>
          <w:kern w:val="0"/>
          <w:sz w:val="21"/>
          <w:szCs w:val="21"/>
        </w:rPr>
        <w:t>万元的后补助。</w:t>
      </w:r>
    </w:p>
    <w:p w14:paraId="6A80EF2E"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6F64ABEC"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（责任单位：市科技局、财政局，各县（市、区）人民政府，泉州开发区、泉州台商投资区管委会）</w:t>
      </w:r>
    </w:p>
    <w:p w14:paraId="04247260"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544874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五、加强新型研发机构的组织管理</w:t>
      </w:r>
    </w:p>
    <w:p w14:paraId="3105427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31D3D37B"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一）强化组织领导。各级政府和相关部门要加强对新型研发机构建设发展的协调领导，将新型研发机构建设工作纳入福厦泉国家自主创新示范区泉州片区的重要内容，并设立新型研发机构发展专项资金。对引进设立的重大新型研发机构可按</w:t>
      </w:r>
      <w:r w:rsidRPr="00CA3F5E">
        <w:rPr>
          <w:rFonts w:ascii="Tahoma" w:hAnsi="Tahoma" w:cs="Tahoma"/>
          <w:color w:val="000000"/>
          <w:kern w:val="0"/>
          <w:sz w:val="21"/>
          <w:szCs w:val="21"/>
        </w:rPr>
        <w:t>“</w:t>
      </w:r>
      <w:r w:rsidRPr="00CA3F5E">
        <w:rPr>
          <w:rFonts w:ascii="Tahoma" w:hAnsi="Tahoma" w:cs="Tahoma"/>
          <w:color w:val="000000"/>
          <w:kern w:val="0"/>
          <w:sz w:val="21"/>
          <w:szCs w:val="21"/>
        </w:rPr>
        <w:t>一事一议</w:t>
      </w:r>
      <w:r w:rsidRPr="00CA3F5E">
        <w:rPr>
          <w:rFonts w:ascii="Tahoma" w:hAnsi="Tahoma" w:cs="Tahoma"/>
          <w:color w:val="000000"/>
          <w:kern w:val="0"/>
          <w:sz w:val="21"/>
          <w:szCs w:val="21"/>
        </w:rPr>
        <w:t>”</w:t>
      </w:r>
      <w:r w:rsidRPr="00CA3F5E">
        <w:rPr>
          <w:rFonts w:ascii="Tahoma" w:hAnsi="Tahoma" w:cs="Tahoma"/>
          <w:color w:val="000000"/>
          <w:kern w:val="0"/>
          <w:sz w:val="21"/>
          <w:szCs w:val="21"/>
        </w:rPr>
        <w:t>方式上报市政府研究确定相关支持政策。</w:t>
      </w:r>
    </w:p>
    <w:p w14:paraId="2664E004"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06F2B42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（二）强化分类管理。大力引导新型研发机构建立完善理事会领导下的院长负责制，推动市场化、专业化运行管理。从承担项目、人才团队、研发设施、知识产权、创新投入等方面对申报的新型研发机构按</w:t>
      </w:r>
      <w:r w:rsidRPr="00CA3F5E">
        <w:rPr>
          <w:rFonts w:ascii="Tahoma" w:hAnsi="Tahoma" w:cs="Tahoma"/>
          <w:color w:val="000000"/>
          <w:kern w:val="0"/>
          <w:sz w:val="21"/>
          <w:szCs w:val="21"/>
        </w:rPr>
        <w:t>A</w:t>
      </w:r>
      <w:r w:rsidRPr="00CA3F5E">
        <w:rPr>
          <w:rFonts w:ascii="Tahoma" w:hAnsi="Tahoma" w:cs="Tahoma"/>
          <w:color w:val="000000"/>
          <w:kern w:val="0"/>
          <w:sz w:val="21"/>
          <w:szCs w:val="21"/>
        </w:rPr>
        <w:t>（评审结果</w:t>
      </w:r>
      <w:r w:rsidRPr="00CA3F5E">
        <w:rPr>
          <w:rFonts w:ascii="Tahoma" w:hAnsi="Tahoma" w:cs="Tahoma"/>
          <w:color w:val="000000"/>
          <w:kern w:val="0"/>
          <w:sz w:val="21"/>
          <w:szCs w:val="21"/>
        </w:rPr>
        <w:t>“</w:t>
      </w:r>
      <w:r w:rsidRPr="00CA3F5E">
        <w:rPr>
          <w:rFonts w:ascii="Tahoma" w:hAnsi="Tahoma" w:cs="Tahoma"/>
          <w:color w:val="000000"/>
          <w:kern w:val="0"/>
          <w:sz w:val="21"/>
          <w:szCs w:val="21"/>
        </w:rPr>
        <w:t>好</w:t>
      </w:r>
      <w:r w:rsidRPr="00CA3F5E">
        <w:rPr>
          <w:rFonts w:ascii="Tahoma" w:hAnsi="Tahoma" w:cs="Tahoma"/>
          <w:color w:val="000000"/>
          <w:kern w:val="0"/>
          <w:sz w:val="21"/>
          <w:szCs w:val="21"/>
        </w:rPr>
        <w:t>”</w:t>
      </w:r>
      <w:r w:rsidRPr="00CA3F5E">
        <w:rPr>
          <w:rFonts w:ascii="Tahoma" w:hAnsi="Tahoma" w:cs="Tahoma"/>
          <w:color w:val="000000"/>
          <w:kern w:val="0"/>
          <w:sz w:val="21"/>
          <w:szCs w:val="21"/>
        </w:rPr>
        <w:t>）、</w:t>
      </w:r>
      <w:r w:rsidRPr="00CA3F5E">
        <w:rPr>
          <w:rFonts w:ascii="Tahoma" w:hAnsi="Tahoma" w:cs="Tahoma"/>
          <w:color w:val="000000"/>
          <w:kern w:val="0"/>
          <w:sz w:val="21"/>
          <w:szCs w:val="21"/>
        </w:rPr>
        <w:t>B</w:t>
      </w:r>
      <w:r w:rsidRPr="00CA3F5E">
        <w:rPr>
          <w:rFonts w:ascii="Tahoma" w:hAnsi="Tahoma" w:cs="Tahoma"/>
          <w:color w:val="000000"/>
          <w:kern w:val="0"/>
          <w:sz w:val="21"/>
          <w:szCs w:val="21"/>
        </w:rPr>
        <w:t>（评审结果</w:t>
      </w:r>
      <w:r w:rsidRPr="00CA3F5E">
        <w:rPr>
          <w:rFonts w:ascii="Tahoma" w:hAnsi="Tahoma" w:cs="Tahoma"/>
          <w:color w:val="000000"/>
          <w:kern w:val="0"/>
          <w:sz w:val="21"/>
          <w:szCs w:val="21"/>
        </w:rPr>
        <w:t>“</w:t>
      </w:r>
      <w:r w:rsidRPr="00CA3F5E">
        <w:rPr>
          <w:rFonts w:ascii="Tahoma" w:hAnsi="Tahoma" w:cs="Tahoma"/>
          <w:color w:val="000000"/>
          <w:kern w:val="0"/>
          <w:sz w:val="21"/>
          <w:szCs w:val="21"/>
        </w:rPr>
        <w:t>良好</w:t>
      </w:r>
      <w:r w:rsidRPr="00CA3F5E">
        <w:rPr>
          <w:rFonts w:ascii="Tahoma" w:hAnsi="Tahoma" w:cs="Tahoma"/>
          <w:color w:val="000000"/>
          <w:kern w:val="0"/>
          <w:sz w:val="21"/>
          <w:szCs w:val="21"/>
        </w:rPr>
        <w:t>”</w:t>
      </w:r>
      <w:r w:rsidRPr="00CA3F5E">
        <w:rPr>
          <w:rFonts w:ascii="Tahoma" w:hAnsi="Tahoma" w:cs="Tahoma"/>
          <w:color w:val="000000"/>
          <w:kern w:val="0"/>
          <w:sz w:val="21"/>
          <w:szCs w:val="21"/>
        </w:rPr>
        <w:t>）、</w:t>
      </w:r>
      <w:r w:rsidRPr="00CA3F5E">
        <w:rPr>
          <w:rFonts w:ascii="Tahoma" w:hAnsi="Tahoma" w:cs="Tahoma"/>
          <w:color w:val="000000"/>
          <w:kern w:val="0"/>
          <w:sz w:val="21"/>
          <w:szCs w:val="21"/>
        </w:rPr>
        <w:t>C</w:t>
      </w:r>
      <w:r w:rsidRPr="00CA3F5E">
        <w:rPr>
          <w:rFonts w:ascii="Tahoma" w:hAnsi="Tahoma" w:cs="Tahoma"/>
          <w:color w:val="000000"/>
          <w:kern w:val="0"/>
          <w:sz w:val="21"/>
          <w:szCs w:val="21"/>
        </w:rPr>
        <w:t>（评审结果</w:t>
      </w:r>
      <w:r w:rsidRPr="00CA3F5E">
        <w:rPr>
          <w:rFonts w:ascii="Tahoma" w:hAnsi="Tahoma" w:cs="Tahoma"/>
          <w:color w:val="000000"/>
          <w:kern w:val="0"/>
          <w:sz w:val="21"/>
          <w:szCs w:val="21"/>
        </w:rPr>
        <w:t>“</w:t>
      </w:r>
      <w:r w:rsidRPr="00CA3F5E">
        <w:rPr>
          <w:rFonts w:ascii="Tahoma" w:hAnsi="Tahoma" w:cs="Tahoma"/>
          <w:color w:val="000000"/>
          <w:kern w:val="0"/>
          <w:sz w:val="21"/>
          <w:szCs w:val="21"/>
        </w:rPr>
        <w:t>合格</w:t>
      </w:r>
      <w:r w:rsidRPr="00CA3F5E">
        <w:rPr>
          <w:rFonts w:ascii="Tahoma" w:hAnsi="Tahoma" w:cs="Tahoma"/>
          <w:color w:val="000000"/>
          <w:kern w:val="0"/>
          <w:sz w:val="21"/>
          <w:szCs w:val="21"/>
        </w:rPr>
        <w:t>”</w:t>
      </w:r>
      <w:r w:rsidRPr="00CA3F5E">
        <w:rPr>
          <w:rFonts w:ascii="Tahoma" w:hAnsi="Tahoma" w:cs="Tahoma"/>
          <w:color w:val="000000"/>
          <w:kern w:val="0"/>
          <w:sz w:val="21"/>
          <w:szCs w:val="21"/>
        </w:rPr>
        <w:t>）、</w:t>
      </w:r>
      <w:r w:rsidRPr="00CA3F5E">
        <w:rPr>
          <w:rFonts w:ascii="Tahoma" w:hAnsi="Tahoma" w:cs="Tahoma"/>
          <w:color w:val="000000"/>
          <w:kern w:val="0"/>
          <w:sz w:val="21"/>
          <w:szCs w:val="21"/>
        </w:rPr>
        <w:t>D</w:t>
      </w:r>
      <w:r w:rsidRPr="00CA3F5E">
        <w:rPr>
          <w:rFonts w:ascii="Tahoma" w:hAnsi="Tahoma" w:cs="Tahoma"/>
          <w:color w:val="000000"/>
          <w:kern w:val="0"/>
          <w:sz w:val="21"/>
          <w:szCs w:val="21"/>
        </w:rPr>
        <w:t>（评审结果</w:t>
      </w:r>
      <w:r w:rsidRPr="00CA3F5E">
        <w:rPr>
          <w:rFonts w:ascii="Tahoma" w:hAnsi="Tahoma" w:cs="Tahoma"/>
          <w:color w:val="000000"/>
          <w:kern w:val="0"/>
          <w:sz w:val="21"/>
          <w:szCs w:val="21"/>
        </w:rPr>
        <w:t>“</w:t>
      </w:r>
      <w:r w:rsidRPr="00CA3F5E">
        <w:rPr>
          <w:rFonts w:ascii="Tahoma" w:hAnsi="Tahoma" w:cs="Tahoma"/>
          <w:color w:val="000000"/>
          <w:kern w:val="0"/>
          <w:sz w:val="21"/>
          <w:szCs w:val="21"/>
        </w:rPr>
        <w:t>不合格</w:t>
      </w:r>
      <w:r w:rsidRPr="00CA3F5E">
        <w:rPr>
          <w:rFonts w:ascii="Tahoma" w:hAnsi="Tahoma" w:cs="Tahoma"/>
          <w:color w:val="000000"/>
          <w:kern w:val="0"/>
          <w:sz w:val="21"/>
          <w:szCs w:val="21"/>
        </w:rPr>
        <w:t>”</w:t>
      </w:r>
      <w:r w:rsidRPr="00CA3F5E">
        <w:rPr>
          <w:rFonts w:ascii="Tahoma" w:hAnsi="Tahoma" w:cs="Tahoma"/>
          <w:color w:val="000000"/>
          <w:kern w:val="0"/>
          <w:sz w:val="21"/>
          <w:szCs w:val="21"/>
        </w:rPr>
        <w:t>）四类实行梯队分级管理制度。对获评</w:t>
      </w:r>
      <w:r w:rsidRPr="00CA3F5E">
        <w:rPr>
          <w:rFonts w:ascii="Tahoma" w:hAnsi="Tahoma" w:cs="Tahoma"/>
          <w:color w:val="000000"/>
          <w:kern w:val="0"/>
          <w:sz w:val="21"/>
          <w:szCs w:val="21"/>
        </w:rPr>
        <w:t>A</w:t>
      </w:r>
      <w:r w:rsidRPr="00CA3F5E">
        <w:rPr>
          <w:rFonts w:ascii="Tahoma" w:hAnsi="Tahoma" w:cs="Tahoma"/>
          <w:color w:val="000000"/>
          <w:kern w:val="0"/>
          <w:sz w:val="21"/>
          <w:szCs w:val="21"/>
        </w:rPr>
        <w:t>、</w:t>
      </w:r>
      <w:r w:rsidRPr="00CA3F5E">
        <w:rPr>
          <w:rFonts w:ascii="Tahoma" w:hAnsi="Tahoma" w:cs="Tahoma"/>
          <w:color w:val="000000"/>
          <w:kern w:val="0"/>
          <w:sz w:val="21"/>
          <w:szCs w:val="21"/>
        </w:rPr>
        <w:t>B</w:t>
      </w:r>
      <w:r w:rsidRPr="00CA3F5E">
        <w:rPr>
          <w:rFonts w:ascii="Tahoma" w:hAnsi="Tahoma" w:cs="Tahoma"/>
          <w:color w:val="000000"/>
          <w:kern w:val="0"/>
          <w:sz w:val="21"/>
          <w:szCs w:val="21"/>
        </w:rPr>
        <w:t>类市级新型研发机构的，市科技局分别给予</w:t>
      </w:r>
      <w:r w:rsidRPr="00CA3F5E">
        <w:rPr>
          <w:rFonts w:ascii="Tahoma" w:hAnsi="Tahoma" w:cs="Tahoma"/>
          <w:color w:val="000000"/>
          <w:kern w:val="0"/>
          <w:sz w:val="21"/>
          <w:szCs w:val="21"/>
        </w:rPr>
        <w:t>A</w:t>
      </w:r>
      <w:r w:rsidRPr="00CA3F5E">
        <w:rPr>
          <w:rFonts w:ascii="Tahoma" w:hAnsi="Tahoma" w:cs="Tahoma"/>
          <w:color w:val="000000"/>
          <w:kern w:val="0"/>
          <w:sz w:val="21"/>
          <w:szCs w:val="21"/>
        </w:rPr>
        <w:t>、</w:t>
      </w:r>
      <w:r w:rsidRPr="00CA3F5E">
        <w:rPr>
          <w:rFonts w:ascii="Tahoma" w:hAnsi="Tahoma" w:cs="Tahoma"/>
          <w:color w:val="000000"/>
          <w:kern w:val="0"/>
          <w:sz w:val="21"/>
          <w:szCs w:val="21"/>
        </w:rPr>
        <w:t>B</w:t>
      </w:r>
      <w:r w:rsidRPr="00CA3F5E">
        <w:rPr>
          <w:rFonts w:ascii="Tahoma" w:hAnsi="Tahoma" w:cs="Tahoma"/>
          <w:color w:val="000000"/>
          <w:kern w:val="0"/>
          <w:sz w:val="21"/>
          <w:szCs w:val="21"/>
        </w:rPr>
        <w:t>类一次性</w:t>
      </w:r>
      <w:r w:rsidRPr="00CA3F5E">
        <w:rPr>
          <w:rFonts w:ascii="Tahoma" w:hAnsi="Tahoma" w:cs="Tahoma"/>
          <w:color w:val="000000"/>
          <w:kern w:val="0"/>
          <w:sz w:val="21"/>
          <w:szCs w:val="21"/>
        </w:rPr>
        <w:t>50</w:t>
      </w:r>
      <w:r w:rsidRPr="00CA3F5E">
        <w:rPr>
          <w:rFonts w:ascii="Tahoma" w:hAnsi="Tahoma" w:cs="Tahoma"/>
          <w:color w:val="000000"/>
          <w:kern w:val="0"/>
          <w:sz w:val="21"/>
          <w:szCs w:val="21"/>
        </w:rPr>
        <w:t>万元、</w:t>
      </w:r>
      <w:r w:rsidRPr="00CA3F5E">
        <w:rPr>
          <w:rFonts w:ascii="Tahoma" w:hAnsi="Tahoma" w:cs="Tahoma"/>
          <w:color w:val="000000"/>
          <w:kern w:val="0"/>
          <w:sz w:val="21"/>
          <w:szCs w:val="21"/>
        </w:rPr>
        <w:t>20</w:t>
      </w:r>
      <w:r w:rsidRPr="00CA3F5E">
        <w:rPr>
          <w:rFonts w:ascii="Tahoma" w:hAnsi="Tahoma" w:cs="Tahoma"/>
          <w:color w:val="000000"/>
          <w:kern w:val="0"/>
          <w:sz w:val="21"/>
          <w:szCs w:val="21"/>
        </w:rPr>
        <w:t>万元资金扶持，每年支持申报市级科技项目数量最多分别可达</w:t>
      </w:r>
      <w:r w:rsidRPr="00CA3F5E">
        <w:rPr>
          <w:rFonts w:ascii="Tahoma" w:hAnsi="Tahoma" w:cs="Tahoma"/>
          <w:color w:val="000000"/>
          <w:kern w:val="0"/>
          <w:sz w:val="21"/>
          <w:szCs w:val="21"/>
        </w:rPr>
        <w:t>3</w:t>
      </w:r>
      <w:r w:rsidRPr="00CA3F5E">
        <w:rPr>
          <w:rFonts w:ascii="Tahoma" w:hAnsi="Tahoma" w:cs="Tahoma"/>
          <w:color w:val="000000"/>
          <w:kern w:val="0"/>
          <w:sz w:val="21"/>
          <w:szCs w:val="21"/>
        </w:rPr>
        <w:t>个、</w:t>
      </w:r>
      <w:r w:rsidRPr="00CA3F5E">
        <w:rPr>
          <w:rFonts w:ascii="Tahoma" w:hAnsi="Tahoma" w:cs="Tahoma"/>
          <w:color w:val="000000"/>
          <w:kern w:val="0"/>
          <w:sz w:val="21"/>
          <w:szCs w:val="21"/>
        </w:rPr>
        <w:t>2</w:t>
      </w:r>
      <w:r w:rsidRPr="00CA3F5E">
        <w:rPr>
          <w:rFonts w:ascii="Tahoma" w:hAnsi="Tahoma" w:cs="Tahoma"/>
          <w:color w:val="000000"/>
          <w:kern w:val="0"/>
          <w:sz w:val="21"/>
          <w:szCs w:val="21"/>
        </w:rPr>
        <w:t>个；获评</w:t>
      </w:r>
      <w:r w:rsidRPr="00CA3F5E">
        <w:rPr>
          <w:rFonts w:ascii="Tahoma" w:hAnsi="Tahoma" w:cs="Tahoma"/>
          <w:color w:val="000000"/>
          <w:kern w:val="0"/>
          <w:sz w:val="21"/>
          <w:szCs w:val="21"/>
        </w:rPr>
        <w:t xml:space="preserve">C </w:t>
      </w:r>
      <w:r w:rsidRPr="00CA3F5E">
        <w:rPr>
          <w:rFonts w:ascii="Tahoma" w:hAnsi="Tahoma" w:cs="Tahoma"/>
          <w:color w:val="000000"/>
          <w:kern w:val="0"/>
          <w:sz w:val="21"/>
          <w:szCs w:val="21"/>
        </w:rPr>
        <w:t>类的机构，认定为市级新型研发机构，每年支持申报市级科技项目数量最多</w:t>
      </w:r>
      <w:r w:rsidRPr="00CA3F5E">
        <w:rPr>
          <w:rFonts w:ascii="Tahoma" w:hAnsi="Tahoma" w:cs="Tahoma"/>
          <w:color w:val="000000"/>
          <w:kern w:val="0"/>
          <w:sz w:val="21"/>
          <w:szCs w:val="21"/>
        </w:rPr>
        <w:t>1</w:t>
      </w:r>
      <w:r w:rsidRPr="00CA3F5E">
        <w:rPr>
          <w:rFonts w:ascii="Tahoma" w:hAnsi="Tahoma" w:cs="Tahoma"/>
          <w:color w:val="000000"/>
          <w:kern w:val="0"/>
          <w:sz w:val="21"/>
          <w:szCs w:val="21"/>
        </w:rPr>
        <w:t>个，但不给予资金扶持；获评</w:t>
      </w:r>
      <w:r w:rsidRPr="00CA3F5E">
        <w:rPr>
          <w:rFonts w:ascii="Tahoma" w:hAnsi="Tahoma" w:cs="Tahoma"/>
          <w:color w:val="000000"/>
          <w:kern w:val="0"/>
          <w:sz w:val="21"/>
          <w:szCs w:val="21"/>
        </w:rPr>
        <w:t>D</w:t>
      </w:r>
      <w:r w:rsidRPr="00CA3F5E">
        <w:rPr>
          <w:rFonts w:ascii="Tahoma" w:hAnsi="Tahoma" w:cs="Tahoma"/>
          <w:color w:val="000000"/>
          <w:kern w:val="0"/>
          <w:sz w:val="21"/>
          <w:szCs w:val="21"/>
        </w:rPr>
        <w:t>类的机构，不能认定为市级新型研发机构，也不给予资金和市级科技项目扶持，实行双向激励。</w:t>
      </w:r>
    </w:p>
    <w:p w14:paraId="27F4EBB8"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7A03BF3E"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三）强化绩效考核。市级科技行政部门负责组织开展新型研发机构的考核评价工作，主要评估人才集聚、创新产出、技术辐射、成果转化效益以及自主发展能力等情况。每两年对认定的市级新型研发机构进行一次绩效考评，实行滚动管理，经考评晋级的，按累加计算，给予相应类别扶持资金和市级科技项目申报支持；经考评降为</w:t>
      </w:r>
      <w:r w:rsidRPr="00CA3F5E">
        <w:rPr>
          <w:rFonts w:ascii="Tahoma" w:hAnsi="Tahoma" w:cs="Tahoma"/>
          <w:color w:val="000000"/>
          <w:kern w:val="0"/>
          <w:sz w:val="21"/>
          <w:szCs w:val="21"/>
        </w:rPr>
        <w:t>D</w:t>
      </w:r>
      <w:r w:rsidRPr="00CA3F5E">
        <w:rPr>
          <w:rFonts w:ascii="Tahoma" w:hAnsi="Tahoma" w:cs="Tahoma"/>
          <w:color w:val="000000"/>
          <w:kern w:val="0"/>
          <w:sz w:val="21"/>
          <w:szCs w:val="21"/>
        </w:rPr>
        <w:t>类的，经整改复核仍不合格的，取消</w:t>
      </w:r>
      <w:r w:rsidRPr="00CA3F5E">
        <w:rPr>
          <w:rFonts w:ascii="Tahoma" w:hAnsi="Tahoma" w:cs="Tahoma"/>
          <w:color w:val="000000"/>
          <w:kern w:val="0"/>
          <w:sz w:val="21"/>
          <w:szCs w:val="21"/>
        </w:rPr>
        <w:t>“</w:t>
      </w:r>
      <w:r w:rsidRPr="00CA3F5E">
        <w:rPr>
          <w:rFonts w:ascii="Tahoma" w:hAnsi="Tahoma" w:cs="Tahoma"/>
          <w:color w:val="000000"/>
          <w:kern w:val="0"/>
          <w:sz w:val="21"/>
          <w:szCs w:val="21"/>
        </w:rPr>
        <w:t>市级新型研发机构</w:t>
      </w:r>
      <w:r w:rsidRPr="00CA3F5E">
        <w:rPr>
          <w:rFonts w:ascii="Tahoma" w:hAnsi="Tahoma" w:cs="Tahoma"/>
          <w:color w:val="000000"/>
          <w:kern w:val="0"/>
          <w:sz w:val="21"/>
          <w:szCs w:val="21"/>
        </w:rPr>
        <w:t>”</w:t>
      </w:r>
      <w:r w:rsidRPr="00CA3F5E">
        <w:rPr>
          <w:rFonts w:ascii="Tahoma" w:hAnsi="Tahoma" w:cs="Tahoma"/>
          <w:color w:val="000000"/>
          <w:kern w:val="0"/>
          <w:sz w:val="21"/>
          <w:szCs w:val="21"/>
        </w:rPr>
        <w:t>资格，不再享受相应政策扶持，以此激发研发机构争先创优意识。</w:t>
      </w:r>
    </w:p>
    <w:p w14:paraId="7CCC9FB6"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5118026D"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四）强化目标意识。建立新型研发机构年度工作目标责任制，将发展省、市级新型研发机构和引进国内外知名高校、科研院所设立新型研发机构的工作任务分解到各县（市、区），明确年度建设发展任务目标数量，切实采取有效措施，将新型研发机构建设发展各项任务落到实处。各地各有关部门要结合实际，按照职责分工，加强指导，优化服务，确保各项措施落实到位。</w:t>
      </w:r>
    </w:p>
    <w:p w14:paraId="2121EC70" w14:textId="77777777" w:rsidR="00CA3F5E" w:rsidRPr="00CA3F5E" w:rsidRDefault="00CA3F5E" w:rsidP="00CA3F5E">
      <w:pPr>
        <w:widowControl/>
        <w:spacing w:line="360" w:lineRule="atLeast"/>
        <w:jc w:val="left"/>
        <w:rPr>
          <w:rFonts w:ascii="Tahoma" w:eastAsia="Times New Roman" w:hAnsi="Tahoma" w:cs="Tahoma"/>
          <w:color w:val="000000"/>
          <w:kern w:val="0"/>
          <w:sz w:val="21"/>
          <w:szCs w:val="21"/>
        </w:rPr>
      </w:pPr>
    </w:p>
    <w:p w14:paraId="2D783A30" w14:textId="77777777" w:rsidR="00CA3F5E" w:rsidRPr="00CA3F5E" w:rsidRDefault="00CA3F5E" w:rsidP="00CA3F5E">
      <w:pPr>
        <w:widowControl/>
        <w:spacing w:line="360" w:lineRule="atLeast"/>
        <w:ind w:firstLine="480"/>
        <w:jc w:val="left"/>
        <w:rPr>
          <w:rFonts w:ascii="Tahoma" w:hAnsi="Tahoma" w:cs="Tahoma"/>
          <w:color w:val="000000"/>
          <w:kern w:val="0"/>
          <w:sz w:val="21"/>
          <w:szCs w:val="21"/>
        </w:rPr>
      </w:pPr>
      <w:r w:rsidRPr="00CA3F5E">
        <w:rPr>
          <w:rFonts w:ascii="Tahoma" w:hAnsi="Tahoma" w:cs="Tahoma"/>
          <w:color w:val="000000"/>
          <w:kern w:val="0"/>
          <w:sz w:val="21"/>
          <w:szCs w:val="21"/>
        </w:rPr>
        <w:t>本意见自印发之日起施行。</w:t>
      </w:r>
    </w:p>
    <w:p w14:paraId="785D116F" w14:textId="77777777" w:rsidR="00B87A50" w:rsidRPr="00CA3F5E" w:rsidRDefault="00B87A50"/>
    <w:sectPr w:rsidR="00B87A50" w:rsidRPr="00CA3F5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5E"/>
    <w:rsid w:val="00730566"/>
    <w:rsid w:val="00B87A50"/>
    <w:rsid w:val="00CA3F5E"/>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B67F6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F5E"/>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11066">
      <w:bodyDiv w:val="1"/>
      <w:marLeft w:val="0"/>
      <w:marRight w:val="0"/>
      <w:marTop w:val="0"/>
      <w:marBottom w:val="0"/>
      <w:divBdr>
        <w:top w:val="none" w:sz="0" w:space="0" w:color="auto"/>
        <w:left w:val="none" w:sz="0" w:space="0" w:color="auto"/>
        <w:bottom w:val="none" w:sz="0" w:space="0" w:color="auto"/>
        <w:right w:val="none" w:sz="0" w:space="0" w:color="auto"/>
      </w:divBdr>
      <w:divsChild>
        <w:div w:id="1441415422">
          <w:marLeft w:val="0"/>
          <w:marRight w:val="0"/>
          <w:marTop w:val="0"/>
          <w:marBottom w:val="450"/>
          <w:divBdr>
            <w:top w:val="none" w:sz="0" w:space="0" w:color="auto"/>
            <w:left w:val="none" w:sz="0" w:space="0" w:color="auto"/>
            <w:bottom w:val="single" w:sz="6" w:space="0" w:color="E5E5E5"/>
            <w:right w:val="none" w:sz="0" w:space="0" w:color="auto"/>
          </w:divBdr>
        </w:div>
        <w:div w:id="439642214">
          <w:marLeft w:val="0"/>
          <w:marRight w:val="0"/>
          <w:marTop w:val="0"/>
          <w:marBottom w:val="0"/>
          <w:divBdr>
            <w:top w:val="none" w:sz="0" w:space="0" w:color="auto"/>
            <w:left w:val="none" w:sz="0" w:space="0" w:color="auto"/>
            <w:bottom w:val="none" w:sz="0" w:space="0" w:color="auto"/>
            <w:right w:val="none" w:sz="0" w:space="0" w:color="auto"/>
          </w:divBdr>
          <w:divsChild>
            <w:div w:id="1516844279">
              <w:marLeft w:val="0"/>
              <w:marRight w:val="0"/>
              <w:marTop w:val="0"/>
              <w:marBottom w:val="0"/>
              <w:divBdr>
                <w:top w:val="none" w:sz="0" w:space="0" w:color="auto"/>
                <w:left w:val="none" w:sz="0" w:space="0" w:color="auto"/>
                <w:bottom w:val="none" w:sz="0" w:space="0" w:color="auto"/>
                <w:right w:val="none" w:sz="0" w:space="0" w:color="auto"/>
              </w:divBdr>
            </w:div>
            <w:div w:id="177542497">
              <w:marLeft w:val="0"/>
              <w:marRight w:val="0"/>
              <w:marTop w:val="0"/>
              <w:marBottom w:val="0"/>
              <w:divBdr>
                <w:top w:val="none" w:sz="0" w:space="0" w:color="auto"/>
                <w:left w:val="none" w:sz="0" w:space="0" w:color="auto"/>
                <w:bottom w:val="none" w:sz="0" w:space="0" w:color="auto"/>
                <w:right w:val="none" w:sz="0" w:space="0" w:color="auto"/>
              </w:divBdr>
            </w:div>
            <w:div w:id="751465774">
              <w:marLeft w:val="0"/>
              <w:marRight w:val="0"/>
              <w:marTop w:val="0"/>
              <w:marBottom w:val="0"/>
              <w:divBdr>
                <w:top w:val="none" w:sz="0" w:space="0" w:color="auto"/>
                <w:left w:val="none" w:sz="0" w:space="0" w:color="auto"/>
                <w:bottom w:val="none" w:sz="0" w:space="0" w:color="auto"/>
                <w:right w:val="none" w:sz="0" w:space="0" w:color="auto"/>
              </w:divBdr>
            </w:div>
            <w:div w:id="297302367">
              <w:marLeft w:val="0"/>
              <w:marRight w:val="0"/>
              <w:marTop w:val="0"/>
              <w:marBottom w:val="0"/>
              <w:divBdr>
                <w:top w:val="none" w:sz="0" w:space="0" w:color="auto"/>
                <w:left w:val="none" w:sz="0" w:space="0" w:color="auto"/>
                <w:bottom w:val="none" w:sz="0" w:space="0" w:color="auto"/>
                <w:right w:val="none" w:sz="0" w:space="0" w:color="auto"/>
              </w:divBdr>
            </w:div>
            <w:div w:id="1893422772">
              <w:marLeft w:val="0"/>
              <w:marRight w:val="0"/>
              <w:marTop w:val="0"/>
              <w:marBottom w:val="0"/>
              <w:divBdr>
                <w:top w:val="none" w:sz="0" w:space="0" w:color="auto"/>
                <w:left w:val="none" w:sz="0" w:space="0" w:color="auto"/>
                <w:bottom w:val="none" w:sz="0" w:space="0" w:color="auto"/>
                <w:right w:val="none" w:sz="0" w:space="0" w:color="auto"/>
              </w:divBdr>
            </w:div>
            <w:div w:id="1480726425">
              <w:marLeft w:val="0"/>
              <w:marRight w:val="0"/>
              <w:marTop w:val="0"/>
              <w:marBottom w:val="0"/>
              <w:divBdr>
                <w:top w:val="none" w:sz="0" w:space="0" w:color="auto"/>
                <w:left w:val="none" w:sz="0" w:space="0" w:color="auto"/>
                <w:bottom w:val="none" w:sz="0" w:space="0" w:color="auto"/>
                <w:right w:val="none" w:sz="0" w:space="0" w:color="auto"/>
              </w:divBdr>
            </w:div>
            <w:div w:id="1761876139">
              <w:marLeft w:val="0"/>
              <w:marRight w:val="0"/>
              <w:marTop w:val="0"/>
              <w:marBottom w:val="0"/>
              <w:divBdr>
                <w:top w:val="none" w:sz="0" w:space="0" w:color="auto"/>
                <w:left w:val="none" w:sz="0" w:space="0" w:color="auto"/>
                <w:bottom w:val="none" w:sz="0" w:space="0" w:color="auto"/>
                <w:right w:val="none" w:sz="0" w:space="0" w:color="auto"/>
              </w:divBdr>
            </w:div>
            <w:div w:id="1996256528">
              <w:marLeft w:val="0"/>
              <w:marRight w:val="0"/>
              <w:marTop w:val="0"/>
              <w:marBottom w:val="0"/>
              <w:divBdr>
                <w:top w:val="none" w:sz="0" w:space="0" w:color="auto"/>
                <w:left w:val="none" w:sz="0" w:space="0" w:color="auto"/>
                <w:bottom w:val="none" w:sz="0" w:space="0" w:color="auto"/>
                <w:right w:val="none" w:sz="0" w:space="0" w:color="auto"/>
              </w:divBdr>
            </w:div>
            <w:div w:id="31926315">
              <w:marLeft w:val="0"/>
              <w:marRight w:val="0"/>
              <w:marTop w:val="0"/>
              <w:marBottom w:val="0"/>
              <w:divBdr>
                <w:top w:val="none" w:sz="0" w:space="0" w:color="auto"/>
                <w:left w:val="none" w:sz="0" w:space="0" w:color="auto"/>
                <w:bottom w:val="none" w:sz="0" w:space="0" w:color="auto"/>
                <w:right w:val="none" w:sz="0" w:space="0" w:color="auto"/>
              </w:divBdr>
            </w:div>
            <w:div w:id="47191029">
              <w:marLeft w:val="0"/>
              <w:marRight w:val="0"/>
              <w:marTop w:val="0"/>
              <w:marBottom w:val="0"/>
              <w:divBdr>
                <w:top w:val="none" w:sz="0" w:space="0" w:color="auto"/>
                <w:left w:val="none" w:sz="0" w:space="0" w:color="auto"/>
                <w:bottom w:val="none" w:sz="0" w:space="0" w:color="auto"/>
                <w:right w:val="none" w:sz="0" w:space="0" w:color="auto"/>
              </w:divBdr>
            </w:div>
            <w:div w:id="447550910">
              <w:marLeft w:val="0"/>
              <w:marRight w:val="0"/>
              <w:marTop w:val="0"/>
              <w:marBottom w:val="0"/>
              <w:divBdr>
                <w:top w:val="none" w:sz="0" w:space="0" w:color="auto"/>
                <w:left w:val="none" w:sz="0" w:space="0" w:color="auto"/>
                <w:bottom w:val="none" w:sz="0" w:space="0" w:color="auto"/>
                <w:right w:val="none" w:sz="0" w:space="0" w:color="auto"/>
              </w:divBdr>
            </w:div>
            <w:div w:id="578713004">
              <w:marLeft w:val="0"/>
              <w:marRight w:val="0"/>
              <w:marTop w:val="0"/>
              <w:marBottom w:val="0"/>
              <w:divBdr>
                <w:top w:val="none" w:sz="0" w:space="0" w:color="auto"/>
                <w:left w:val="none" w:sz="0" w:space="0" w:color="auto"/>
                <w:bottom w:val="none" w:sz="0" w:space="0" w:color="auto"/>
                <w:right w:val="none" w:sz="0" w:space="0" w:color="auto"/>
              </w:divBdr>
            </w:div>
            <w:div w:id="2077625666">
              <w:marLeft w:val="0"/>
              <w:marRight w:val="0"/>
              <w:marTop w:val="0"/>
              <w:marBottom w:val="0"/>
              <w:divBdr>
                <w:top w:val="none" w:sz="0" w:space="0" w:color="auto"/>
                <w:left w:val="none" w:sz="0" w:space="0" w:color="auto"/>
                <w:bottom w:val="none" w:sz="0" w:space="0" w:color="auto"/>
                <w:right w:val="none" w:sz="0" w:space="0" w:color="auto"/>
              </w:divBdr>
            </w:div>
            <w:div w:id="773482402">
              <w:marLeft w:val="0"/>
              <w:marRight w:val="0"/>
              <w:marTop w:val="0"/>
              <w:marBottom w:val="0"/>
              <w:divBdr>
                <w:top w:val="none" w:sz="0" w:space="0" w:color="auto"/>
                <w:left w:val="none" w:sz="0" w:space="0" w:color="auto"/>
                <w:bottom w:val="none" w:sz="0" w:space="0" w:color="auto"/>
                <w:right w:val="none" w:sz="0" w:space="0" w:color="auto"/>
              </w:divBdr>
            </w:div>
            <w:div w:id="1390759952">
              <w:marLeft w:val="0"/>
              <w:marRight w:val="0"/>
              <w:marTop w:val="0"/>
              <w:marBottom w:val="0"/>
              <w:divBdr>
                <w:top w:val="none" w:sz="0" w:space="0" w:color="auto"/>
                <w:left w:val="none" w:sz="0" w:space="0" w:color="auto"/>
                <w:bottom w:val="none" w:sz="0" w:space="0" w:color="auto"/>
                <w:right w:val="none" w:sz="0" w:space="0" w:color="auto"/>
              </w:divBdr>
            </w:div>
            <w:div w:id="620310429">
              <w:marLeft w:val="0"/>
              <w:marRight w:val="0"/>
              <w:marTop w:val="0"/>
              <w:marBottom w:val="0"/>
              <w:divBdr>
                <w:top w:val="none" w:sz="0" w:space="0" w:color="auto"/>
                <w:left w:val="none" w:sz="0" w:space="0" w:color="auto"/>
                <w:bottom w:val="none" w:sz="0" w:space="0" w:color="auto"/>
                <w:right w:val="none" w:sz="0" w:space="0" w:color="auto"/>
              </w:divBdr>
            </w:div>
            <w:div w:id="584729539">
              <w:marLeft w:val="0"/>
              <w:marRight w:val="0"/>
              <w:marTop w:val="0"/>
              <w:marBottom w:val="0"/>
              <w:divBdr>
                <w:top w:val="none" w:sz="0" w:space="0" w:color="auto"/>
                <w:left w:val="none" w:sz="0" w:space="0" w:color="auto"/>
                <w:bottom w:val="none" w:sz="0" w:space="0" w:color="auto"/>
                <w:right w:val="none" w:sz="0" w:space="0" w:color="auto"/>
              </w:divBdr>
            </w:div>
            <w:div w:id="855391568">
              <w:marLeft w:val="0"/>
              <w:marRight w:val="0"/>
              <w:marTop w:val="0"/>
              <w:marBottom w:val="0"/>
              <w:divBdr>
                <w:top w:val="none" w:sz="0" w:space="0" w:color="auto"/>
                <w:left w:val="none" w:sz="0" w:space="0" w:color="auto"/>
                <w:bottom w:val="none" w:sz="0" w:space="0" w:color="auto"/>
                <w:right w:val="none" w:sz="0" w:space="0" w:color="auto"/>
              </w:divBdr>
            </w:div>
            <w:div w:id="1078790692">
              <w:marLeft w:val="0"/>
              <w:marRight w:val="0"/>
              <w:marTop w:val="0"/>
              <w:marBottom w:val="0"/>
              <w:divBdr>
                <w:top w:val="none" w:sz="0" w:space="0" w:color="auto"/>
                <w:left w:val="none" w:sz="0" w:space="0" w:color="auto"/>
                <w:bottom w:val="none" w:sz="0" w:space="0" w:color="auto"/>
                <w:right w:val="none" w:sz="0" w:space="0" w:color="auto"/>
              </w:divBdr>
            </w:div>
            <w:div w:id="379482259">
              <w:marLeft w:val="0"/>
              <w:marRight w:val="0"/>
              <w:marTop w:val="0"/>
              <w:marBottom w:val="0"/>
              <w:divBdr>
                <w:top w:val="none" w:sz="0" w:space="0" w:color="auto"/>
                <w:left w:val="none" w:sz="0" w:space="0" w:color="auto"/>
                <w:bottom w:val="none" w:sz="0" w:space="0" w:color="auto"/>
                <w:right w:val="none" w:sz="0" w:space="0" w:color="auto"/>
              </w:divBdr>
            </w:div>
            <w:div w:id="1850366923">
              <w:marLeft w:val="0"/>
              <w:marRight w:val="0"/>
              <w:marTop w:val="0"/>
              <w:marBottom w:val="0"/>
              <w:divBdr>
                <w:top w:val="none" w:sz="0" w:space="0" w:color="auto"/>
                <w:left w:val="none" w:sz="0" w:space="0" w:color="auto"/>
                <w:bottom w:val="none" w:sz="0" w:space="0" w:color="auto"/>
                <w:right w:val="none" w:sz="0" w:space="0" w:color="auto"/>
              </w:divBdr>
            </w:div>
            <w:div w:id="421879287">
              <w:marLeft w:val="0"/>
              <w:marRight w:val="0"/>
              <w:marTop w:val="0"/>
              <w:marBottom w:val="0"/>
              <w:divBdr>
                <w:top w:val="none" w:sz="0" w:space="0" w:color="auto"/>
                <w:left w:val="none" w:sz="0" w:space="0" w:color="auto"/>
                <w:bottom w:val="none" w:sz="0" w:space="0" w:color="auto"/>
                <w:right w:val="none" w:sz="0" w:space="0" w:color="auto"/>
              </w:divBdr>
            </w:div>
            <w:div w:id="1827281863">
              <w:marLeft w:val="0"/>
              <w:marRight w:val="0"/>
              <w:marTop w:val="0"/>
              <w:marBottom w:val="0"/>
              <w:divBdr>
                <w:top w:val="none" w:sz="0" w:space="0" w:color="auto"/>
                <w:left w:val="none" w:sz="0" w:space="0" w:color="auto"/>
                <w:bottom w:val="none" w:sz="0" w:space="0" w:color="auto"/>
                <w:right w:val="none" w:sz="0" w:space="0" w:color="auto"/>
              </w:divBdr>
            </w:div>
            <w:div w:id="579994852">
              <w:marLeft w:val="0"/>
              <w:marRight w:val="0"/>
              <w:marTop w:val="0"/>
              <w:marBottom w:val="0"/>
              <w:divBdr>
                <w:top w:val="none" w:sz="0" w:space="0" w:color="auto"/>
                <w:left w:val="none" w:sz="0" w:space="0" w:color="auto"/>
                <w:bottom w:val="none" w:sz="0" w:space="0" w:color="auto"/>
                <w:right w:val="none" w:sz="0" w:space="0" w:color="auto"/>
              </w:divBdr>
            </w:div>
            <w:div w:id="407507993">
              <w:marLeft w:val="0"/>
              <w:marRight w:val="0"/>
              <w:marTop w:val="0"/>
              <w:marBottom w:val="0"/>
              <w:divBdr>
                <w:top w:val="none" w:sz="0" w:space="0" w:color="auto"/>
                <w:left w:val="none" w:sz="0" w:space="0" w:color="auto"/>
                <w:bottom w:val="none" w:sz="0" w:space="0" w:color="auto"/>
                <w:right w:val="none" w:sz="0" w:space="0" w:color="auto"/>
              </w:divBdr>
            </w:div>
            <w:div w:id="376586075">
              <w:marLeft w:val="0"/>
              <w:marRight w:val="0"/>
              <w:marTop w:val="0"/>
              <w:marBottom w:val="0"/>
              <w:divBdr>
                <w:top w:val="none" w:sz="0" w:space="0" w:color="auto"/>
                <w:left w:val="none" w:sz="0" w:space="0" w:color="auto"/>
                <w:bottom w:val="none" w:sz="0" w:space="0" w:color="auto"/>
                <w:right w:val="none" w:sz="0" w:space="0" w:color="auto"/>
              </w:divBdr>
            </w:div>
            <w:div w:id="305626635">
              <w:marLeft w:val="0"/>
              <w:marRight w:val="0"/>
              <w:marTop w:val="0"/>
              <w:marBottom w:val="0"/>
              <w:divBdr>
                <w:top w:val="none" w:sz="0" w:space="0" w:color="auto"/>
                <w:left w:val="none" w:sz="0" w:space="0" w:color="auto"/>
                <w:bottom w:val="none" w:sz="0" w:space="0" w:color="auto"/>
                <w:right w:val="none" w:sz="0" w:space="0" w:color="auto"/>
              </w:divBdr>
            </w:div>
            <w:div w:id="354818020">
              <w:marLeft w:val="0"/>
              <w:marRight w:val="0"/>
              <w:marTop w:val="0"/>
              <w:marBottom w:val="0"/>
              <w:divBdr>
                <w:top w:val="none" w:sz="0" w:space="0" w:color="auto"/>
                <w:left w:val="none" w:sz="0" w:space="0" w:color="auto"/>
                <w:bottom w:val="none" w:sz="0" w:space="0" w:color="auto"/>
                <w:right w:val="none" w:sz="0" w:space="0" w:color="auto"/>
              </w:divBdr>
            </w:div>
            <w:div w:id="151913138">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 w:id="1383678690">
              <w:marLeft w:val="0"/>
              <w:marRight w:val="0"/>
              <w:marTop w:val="0"/>
              <w:marBottom w:val="0"/>
              <w:divBdr>
                <w:top w:val="none" w:sz="0" w:space="0" w:color="auto"/>
                <w:left w:val="none" w:sz="0" w:space="0" w:color="auto"/>
                <w:bottom w:val="none" w:sz="0" w:space="0" w:color="auto"/>
                <w:right w:val="none" w:sz="0" w:space="0" w:color="auto"/>
              </w:divBdr>
            </w:div>
            <w:div w:id="2064018621">
              <w:marLeft w:val="0"/>
              <w:marRight w:val="0"/>
              <w:marTop w:val="0"/>
              <w:marBottom w:val="0"/>
              <w:divBdr>
                <w:top w:val="none" w:sz="0" w:space="0" w:color="auto"/>
                <w:left w:val="none" w:sz="0" w:space="0" w:color="auto"/>
                <w:bottom w:val="none" w:sz="0" w:space="0" w:color="auto"/>
                <w:right w:val="none" w:sz="0" w:space="0" w:color="auto"/>
              </w:divBdr>
            </w:div>
            <w:div w:id="1027950797">
              <w:marLeft w:val="0"/>
              <w:marRight w:val="0"/>
              <w:marTop w:val="0"/>
              <w:marBottom w:val="0"/>
              <w:divBdr>
                <w:top w:val="none" w:sz="0" w:space="0" w:color="auto"/>
                <w:left w:val="none" w:sz="0" w:space="0" w:color="auto"/>
                <w:bottom w:val="none" w:sz="0" w:space="0" w:color="auto"/>
                <w:right w:val="none" w:sz="0" w:space="0" w:color="auto"/>
              </w:divBdr>
            </w:div>
            <w:div w:id="246158278">
              <w:marLeft w:val="0"/>
              <w:marRight w:val="0"/>
              <w:marTop w:val="0"/>
              <w:marBottom w:val="0"/>
              <w:divBdr>
                <w:top w:val="none" w:sz="0" w:space="0" w:color="auto"/>
                <w:left w:val="none" w:sz="0" w:space="0" w:color="auto"/>
                <w:bottom w:val="none" w:sz="0" w:space="0" w:color="auto"/>
                <w:right w:val="none" w:sz="0" w:space="0" w:color="auto"/>
              </w:divBdr>
            </w:div>
            <w:div w:id="538736501">
              <w:marLeft w:val="0"/>
              <w:marRight w:val="0"/>
              <w:marTop w:val="0"/>
              <w:marBottom w:val="0"/>
              <w:divBdr>
                <w:top w:val="none" w:sz="0" w:space="0" w:color="auto"/>
                <w:left w:val="none" w:sz="0" w:space="0" w:color="auto"/>
                <w:bottom w:val="none" w:sz="0" w:space="0" w:color="auto"/>
                <w:right w:val="none" w:sz="0" w:space="0" w:color="auto"/>
              </w:divBdr>
            </w:div>
            <w:div w:id="1609970361">
              <w:marLeft w:val="0"/>
              <w:marRight w:val="0"/>
              <w:marTop w:val="0"/>
              <w:marBottom w:val="0"/>
              <w:divBdr>
                <w:top w:val="none" w:sz="0" w:space="0" w:color="auto"/>
                <w:left w:val="none" w:sz="0" w:space="0" w:color="auto"/>
                <w:bottom w:val="none" w:sz="0" w:space="0" w:color="auto"/>
                <w:right w:val="none" w:sz="0" w:space="0" w:color="auto"/>
              </w:divBdr>
            </w:div>
            <w:div w:id="222955885">
              <w:marLeft w:val="0"/>
              <w:marRight w:val="0"/>
              <w:marTop w:val="0"/>
              <w:marBottom w:val="0"/>
              <w:divBdr>
                <w:top w:val="none" w:sz="0" w:space="0" w:color="auto"/>
                <w:left w:val="none" w:sz="0" w:space="0" w:color="auto"/>
                <w:bottom w:val="none" w:sz="0" w:space="0" w:color="auto"/>
                <w:right w:val="none" w:sz="0" w:space="0" w:color="auto"/>
              </w:divBdr>
            </w:div>
            <w:div w:id="730158685">
              <w:marLeft w:val="0"/>
              <w:marRight w:val="0"/>
              <w:marTop w:val="0"/>
              <w:marBottom w:val="0"/>
              <w:divBdr>
                <w:top w:val="none" w:sz="0" w:space="0" w:color="auto"/>
                <w:left w:val="none" w:sz="0" w:space="0" w:color="auto"/>
                <w:bottom w:val="none" w:sz="0" w:space="0" w:color="auto"/>
                <w:right w:val="none" w:sz="0" w:space="0" w:color="auto"/>
              </w:divBdr>
            </w:div>
            <w:div w:id="1173226132">
              <w:marLeft w:val="0"/>
              <w:marRight w:val="0"/>
              <w:marTop w:val="0"/>
              <w:marBottom w:val="0"/>
              <w:divBdr>
                <w:top w:val="none" w:sz="0" w:space="0" w:color="auto"/>
                <w:left w:val="none" w:sz="0" w:space="0" w:color="auto"/>
                <w:bottom w:val="none" w:sz="0" w:space="0" w:color="auto"/>
                <w:right w:val="none" w:sz="0" w:space="0" w:color="auto"/>
              </w:divBdr>
            </w:div>
            <w:div w:id="1805852412">
              <w:marLeft w:val="0"/>
              <w:marRight w:val="0"/>
              <w:marTop w:val="0"/>
              <w:marBottom w:val="0"/>
              <w:divBdr>
                <w:top w:val="none" w:sz="0" w:space="0" w:color="auto"/>
                <w:left w:val="none" w:sz="0" w:space="0" w:color="auto"/>
                <w:bottom w:val="none" w:sz="0" w:space="0" w:color="auto"/>
                <w:right w:val="none" w:sz="0" w:space="0" w:color="auto"/>
              </w:divBdr>
            </w:div>
            <w:div w:id="853104994">
              <w:marLeft w:val="0"/>
              <w:marRight w:val="0"/>
              <w:marTop w:val="0"/>
              <w:marBottom w:val="0"/>
              <w:divBdr>
                <w:top w:val="none" w:sz="0" w:space="0" w:color="auto"/>
                <w:left w:val="none" w:sz="0" w:space="0" w:color="auto"/>
                <w:bottom w:val="none" w:sz="0" w:space="0" w:color="auto"/>
                <w:right w:val="none" w:sz="0" w:space="0" w:color="auto"/>
              </w:divBdr>
            </w:div>
            <w:div w:id="909541273">
              <w:marLeft w:val="0"/>
              <w:marRight w:val="0"/>
              <w:marTop w:val="0"/>
              <w:marBottom w:val="0"/>
              <w:divBdr>
                <w:top w:val="none" w:sz="0" w:space="0" w:color="auto"/>
                <w:left w:val="none" w:sz="0" w:space="0" w:color="auto"/>
                <w:bottom w:val="none" w:sz="0" w:space="0" w:color="auto"/>
                <w:right w:val="none" w:sz="0" w:space="0" w:color="auto"/>
              </w:divBdr>
            </w:div>
            <w:div w:id="975570006">
              <w:marLeft w:val="0"/>
              <w:marRight w:val="0"/>
              <w:marTop w:val="0"/>
              <w:marBottom w:val="0"/>
              <w:divBdr>
                <w:top w:val="none" w:sz="0" w:space="0" w:color="auto"/>
                <w:left w:val="none" w:sz="0" w:space="0" w:color="auto"/>
                <w:bottom w:val="none" w:sz="0" w:space="0" w:color="auto"/>
                <w:right w:val="none" w:sz="0" w:space="0" w:color="auto"/>
              </w:divBdr>
            </w:div>
            <w:div w:id="1517385230">
              <w:marLeft w:val="0"/>
              <w:marRight w:val="0"/>
              <w:marTop w:val="0"/>
              <w:marBottom w:val="0"/>
              <w:divBdr>
                <w:top w:val="none" w:sz="0" w:space="0" w:color="auto"/>
                <w:left w:val="none" w:sz="0" w:space="0" w:color="auto"/>
                <w:bottom w:val="none" w:sz="0" w:space="0" w:color="auto"/>
                <w:right w:val="none" w:sz="0" w:space="0" w:color="auto"/>
              </w:divBdr>
            </w:div>
            <w:div w:id="502399845">
              <w:marLeft w:val="0"/>
              <w:marRight w:val="0"/>
              <w:marTop w:val="0"/>
              <w:marBottom w:val="0"/>
              <w:divBdr>
                <w:top w:val="none" w:sz="0" w:space="0" w:color="auto"/>
                <w:left w:val="none" w:sz="0" w:space="0" w:color="auto"/>
                <w:bottom w:val="none" w:sz="0" w:space="0" w:color="auto"/>
                <w:right w:val="none" w:sz="0" w:space="0" w:color="auto"/>
              </w:divBdr>
            </w:div>
            <w:div w:id="1306200919">
              <w:marLeft w:val="0"/>
              <w:marRight w:val="0"/>
              <w:marTop w:val="0"/>
              <w:marBottom w:val="0"/>
              <w:divBdr>
                <w:top w:val="none" w:sz="0" w:space="0" w:color="auto"/>
                <w:left w:val="none" w:sz="0" w:space="0" w:color="auto"/>
                <w:bottom w:val="none" w:sz="0" w:space="0" w:color="auto"/>
                <w:right w:val="none" w:sz="0" w:space="0" w:color="auto"/>
              </w:divBdr>
            </w:div>
            <w:div w:id="257181351">
              <w:marLeft w:val="0"/>
              <w:marRight w:val="0"/>
              <w:marTop w:val="0"/>
              <w:marBottom w:val="0"/>
              <w:divBdr>
                <w:top w:val="none" w:sz="0" w:space="0" w:color="auto"/>
                <w:left w:val="none" w:sz="0" w:space="0" w:color="auto"/>
                <w:bottom w:val="none" w:sz="0" w:space="0" w:color="auto"/>
                <w:right w:val="none" w:sz="0" w:space="0" w:color="auto"/>
              </w:divBdr>
            </w:div>
            <w:div w:id="607279507">
              <w:marLeft w:val="0"/>
              <w:marRight w:val="0"/>
              <w:marTop w:val="0"/>
              <w:marBottom w:val="0"/>
              <w:divBdr>
                <w:top w:val="none" w:sz="0" w:space="0" w:color="auto"/>
                <w:left w:val="none" w:sz="0" w:space="0" w:color="auto"/>
                <w:bottom w:val="none" w:sz="0" w:space="0" w:color="auto"/>
                <w:right w:val="none" w:sz="0" w:space="0" w:color="auto"/>
              </w:divBdr>
            </w:div>
            <w:div w:id="2052070703">
              <w:marLeft w:val="0"/>
              <w:marRight w:val="0"/>
              <w:marTop w:val="0"/>
              <w:marBottom w:val="0"/>
              <w:divBdr>
                <w:top w:val="none" w:sz="0" w:space="0" w:color="auto"/>
                <w:left w:val="none" w:sz="0" w:space="0" w:color="auto"/>
                <w:bottom w:val="none" w:sz="0" w:space="0" w:color="auto"/>
                <w:right w:val="none" w:sz="0" w:space="0" w:color="auto"/>
              </w:divBdr>
            </w:div>
            <w:div w:id="637220637">
              <w:marLeft w:val="0"/>
              <w:marRight w:val="0"/>
              <w:marTop w:val="0"/>
              <w:marBottom w:val="0"/>
              <w:divBdr>
                <w:top w:val="none" w:sz="0" w:space="0" w:color="auto"/>
                <w:left w:val="none" w:sz="0" w:space="0" w:color="auto"/>
                <w:bottom w:val="none" w:sz="0" w:space="0" w:color="auto"/>
                <w:right w:val="none" w:sz="0" w:space="0" w:color="auto"/>
              </w:divBdr>
            </w:div>
            <w:div w:id="1883246693">
              <w:marLeft w:val="0"/>
              <w:marRight w:val="0"/>
              <w:marTop w:val="0"/>
              <w:marBottom w:val="0"/>
              <w:divBdr>
                <w:top w:val="none" w:sz="0" w:space="0" w:color="auto"/>
                <w:left w:val="none" w:sz="0" w:space="0" w:color="auto"/>
                <w:bottom w:val="none" w:sz="0" w:space="0" w:color="auto"/>
                <w:right w:val="none" w:sz="0" w:space="0" w:color="auto"/>
              </w:divBdr>
            </w:div>
            <w:div w:id="2065909089">
              <w:marLeft w:val="0"/>
              <w:marRight w:val="0"/>
              <w:marTop w:val="0"/>
              <w:marBottom w:val="0"/>
              <w:divBdr>
                <w:top w:val="none" w:sz="0" w:space="0" w:color="auto"/>
                <w:left w:val="none" w:sz="0" w:space="0" w:color="auto"/>
                <w:bottom w:val="none" w:sz="0" w:space="0" w:color="auto"/>
                <w:right w:val="none" w:sz="0" w:space="0" w:color="auto"/>
              </w:divBdr>
            </w:div>
            <w:div w:id="766274778">
              <w:marLeft w:val="0"/>
              <w:marRight w:val="0"/>
              <w:marTop w:val="0"/>
              <w:marBottom w:val="0"/>
              <w:divBdr>
                <w:top w:val="none" w:sz="0" w:space="0" w:color="auto"/>
                <w:left w:val="none" w:sz="0" w:space="0" w:color="auto"/>
                <w:bottom w:val="none" w:sz="0" w:space="0" w:color="auto"/>
                <w:right w:val="none" w:sz="0" w:space="0" w:color="auto"/>
              </w:divBdr>
            </w:div>
            <w:div w:id="385178123">
              <w:marLeft w:val="0"/>
              <w:marRight w:val="0"/>
              <w:marTop w:val="0"/>
              <w:marBottom w:val="0"/>
              <w:divBdr>
                <w:top w:val="none" w:sz="0" w:space="0" w:color="auto"/>
                <w:left w:val="none" w:sz="0" w:space="0" w:color="auto"/>
                <w:bottom w:val="none" w:sz="0" w:space="0" w:color="auto"/>
                <w:right w:val="none" w:sz="0" w:space="0" w:color="auto"/>
              </w:divBdr>
            </w:div>
            <w:div w:id="2050183597">
              <w:marLeft w:val="0"/>
              <w:marRight w:val="0"/>
              <w:marTop w:val="0"/>
              <w:marBottom w:val="0"/>
              <w:divBdr>
                <w:top w:val="none" w:sz="0" w:space="0" w:color="auto"/>
                <w:left w:val="none" w:sz="0" w:space="0" w:color="auto"/>
                <w:bottom w:val="none" w:sz="0" w:space="0" w:color="auto"/>
                <w:right w:val="none" w:sz="0" w:space="0" w:color="auto"/>
              </w:divBdr>
            </w:div>
            <w:div w:id="1836726619">
              <w:marLeft w:val="0"/>
              <w:marRight w:val="0"/>
              <w:marTop w:val="0"/>
              <w:marBottom w:val="0"/>
              <w:divBdr>
                <w:top w:val="none" w:sz="0" w:space="0" w:color="auto"/>
                <w:left w:val="none" w:sz="0" w:space="0" w:color="auto"/>
                <w:bottom w:val="none" w:sz="0" w:space="0" w:color="auto"/>
                <w:right w:val="none" w:sz="0" w:space="0" w:color="auto"/>
              </w:divBdr>
            </w:div>
            <w:div w:id="2098596743">
              <w:marLeft w:val="0"/>
              <w:marRight w:val="0"/>
              <w:marTop w:val="0"/>
              <w:marBottom w:val="0"/>
              <w:divBdr>
                <w:top w:val="none" w:sz="0" w:space="0" w:color="auto"/>
                <w:left w:val="none" w:sz="0" w:space="0" w:color="auto"/>
                <w:bottom w:val="none" w:sz="0" w:space="0" w:color="auto"/>
                <w:right w:val="none" w:sz="0" w:space="0" w:color="auto"/>
              </w:divBdr>
            </w:div>
            <w:div w:id="9414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799</Words>
  <Characters>4556</Characters>
  <Application>Microsoft Macintosh Word</Application>
  <DocSecurity>0</DocSecurity>
  <Lines>37</Lines>
  <Paragraphs>10</Paragraphs>
  <ScaleCrop>false</ScaleCrop>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2018-06-11T06:41:00Z</dcterms:created>
  <dcterms:modified xsi:type="dcterms:W3CDTF">2018-06-11T06:41:00Z</dcterms:modified>
</cp:coreProperties>
</file>