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20" w:rsidRPr="00A62120" w:rsidRDefault="00A62120" w:rsidP="00A62120">
      <w:pPr>
        <w:widowControl/>
        <w:shd w:val="clear" w:color="auto" w:fill="FFFFFF"/>
        <w:wordWrap w:val="0"/>
        <w:spacing w:line="675" w:lineRule="atLeast"/>
        <w:jc w:val="center"/>
        <w:rPr>
          <w:rFonts w:ascii="Simsun" w:eastAsia="宋体" w:hAnsi="Simsun" w:cs="宋体"/>
          <w:b/>
          <w:bCs/>
          <w:color w:val="FF0509"/>
          <w:kern w:val="0"/>
          <w:sz w:val="53"/>
          <w:szCs w:val="53"/>
        </w:rPr>
      </w:pPr>
      <w:bookmarkStart w:id="0" w:name="_GoBack"/>
      <w:r w:rsidRPr="00A62120">
        <w:rPr>
          <w:rFonts w:ascii="Simsun" w:eastAsia="宋体" w:hAnsi="Simsun" w:cs="宋体"/>
          <w:b/>
          <w:bCs/>
          <w:color w:val="FF0509"/>
          <w:kern w:val="0"/>
          <w:sz w:val="53"/>
          <w:szCs w:val="53"/>
        </w:rPr>
        <w:t>浮梁</w:t>
      </w:r>
      <w:proofErr w:type="gramStart"/>
      <w:r w:rsidRPr="00A62120">
        <w:rPr>
          <w:rFonts w:ascii="Simsun" w:eastAsia="宋体" w:hAnsi="Simsun" w:cs="宋体"/>
          <w:b/>
          <w:bCs/>
          <w:color w:val="FF0509"/>
          <w:kern w:val="0"/>
          <w:sz w:val="53"/>
          <w:szCs w:val="53"/>
        </w:rPr>
        <w:t>县鼓励</w:t>
      </w:r>
      <w:proofErr w:type="gramEnd"/>
      <w:r w:rsidRPr="00A62120">
        <w:rPr>
          <w:rFonts w:ascii="Simsun" w:eastAsia="宋体" w:hAnsi="Simsun" w:cs="宋体"/>
          <w:b/>
          <w:bCs/>
          <w:color w:val="FF0509"/>
          <w:kern w:val="0"/>
          <w:sz w:val="53"/>
          <w:szCs w:val="53"/>
        </w:rPr>
        <w:t>和规范工业企业投资办法</w:t>
      </w:r>
    </w:p>
    <w:bookmarkEnd w:id="0"/>
    <w:p w:rsidR="00A62120" w:rsidRPr="00A62120" w:rsidRDefault="00A62120" w:rsidP="00A62120">
      <w:pPr>
        <w:widowControl/>
        <w:shd w:val="clear" w:color="auto" w:fill="FFFFFF"/>
        <w:wordWrap w:val="0"/>
        <w:jc w:val="center"/>
        <w:rPr>
          <w:rFonts w:ascii="微软雅黑" w:eastAsia="微软雅黑" w:hAnsi="微软雅黑" w:cs="宋体"/>
          <w:color w:val="666666"/>
          <w:kern w:val="0"/>
          <w:szCs w:val="21"/>
        </w:rPr>
      </w:pPr>
      <w:r w:rsidRPr="00A62120">
        <w:rPr>
          <w:rFonts w:ascii="微软雅黑" w:eastAsia="微软雅黑" w:hAnsi="微软雅黑" w:cs="宋体" w:hint="eastAsia"/>
          <w:color w:val="666666"/>
          <w:kern w:val="0"/>
          <w:szCs w:val="21"/>
        </w:rPr>
        <w:t>发布日期：2018年05月04日14点28分 作者：   浏览量：2 </w:t>
      </w:r>
    </w:p>
    <w:p w:rsidR="00A62120" w:rsidRPr="00A62120" w:rsidRDefault="00A62120" w:rsidP="00A62120">
      <w:pPr>
        <w:widowControl/>
        <w:shd w:val="clear" w:color="auto" w:fill="FFFFFF"/>
        <w:wordWrap w:val="0"/>
        <w:spacing w:line="441" w:lineRule="atLeast"/>
        <w:jc w:val="center"/>
        <w:rPr>
          <w:rFonts w:ascii="微软雅黑" w:eastAsia="微软雅黑" w:hAnsi="微软雅黑" w:cs="宋体" w:hint="eastAsia"/>
          <w:color w:val="333333"/>
          <w:kern w:val="0"/>
          <w:szCs w:val="21"/>
        </w:rPr>
      </w:pP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宋体" w:eastAsia="宋体" w:hAnsi="宋体" w:cs="宋体" w:hint="eastAsia"/>
          <w:color w:val="333333"/>
          <w:kern w:val="0"/>
          <w:szCs w:val="21"/>
        </w:rPr>
        <w:t xml:space="preserve">　　为进一步规范招商引资工作，营造公开、公平、公正和更为优越的投资环境，根据国家和省、市有关规定，结合我县实际，特制定本办法。</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宋体" w:eastAsia="宋体" w:hAnsi="宋体" w:cs="宋体" w:hint="eastAsia"/>
          <w:color w:val="333333"/>
          <w:kern w:val="0"/>
          <w:szCs w:val="21"/>
        </w:rPr>
        <w:t xml:space="preserve">　　</w:t>
      </w:r>
      <w:r w:rsidRPr="00A62120">
        <w:rPr>
          <w:rFonts w:ascii="宋体" w:eastAsia="宋体" w:hAnsi="宋体" w:cs="宋体" w:hint="eastAsia"/>
          <w:b/>
          <w:bCs/>
          <w:color w:val="333333"/>
          <w:kern w:val="0"/>
          <w:szCs w:val="21"/>
        </w:rPr>
        <w:t>一、土地政策</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1</w:t>
      </w:r>
      <w:r w:rsidRPr="00A62120">
        <w:rPr>
          <w:rFonts w:ascii="宋体" w:eastAsia="宋体" w:hAnsi="宋体" w:cs="宋体" w:hint="eastAsia"/>
          <w:color w:val="333333"/>
          <w:kern w:val="0"/>
          <w:szCs w:val="21"/>
        </w:rPr>
        <w:t>、凡是符合本县产业发展政策和环保、安全生产等要求，固定资产投资</w:t>
      </w:r>
      <w:r w:rsidRPr="00A62120">
        <w:rPr>
          <w:rFonts w:ascii="Calibri" w:eastAsia="微软雅黑" w:hAnsi="Calibri" w:cs="Calibri"/>
          <w:color w:val="333333"/>
          <w:kern w:val="0"/>
          <w:szCs w:val="21"/>
        </w:rPr>
        <w:t>2000</w:t>
      </w:r>
      <w:r w:rsidRPr="00A62120">
        <w:rPr>
          <w:rFonts w:ascii="宋体" w:eastAsia="宋体" w:hAnsi="宋体" w:cs="宋体" w:hint="eastAsia"/>
          <w:color w:val="333333"/>
          <w:kern w:val="0"/>
          <w:szCs w:val="21"/>
        </w:rPr>
        <w:t>万元以上，且投资强度在</w:t>
      </w:r>
      <w:r w:rsidRPr="00A62120">
        <w:rPr>
          <w:rFonts w:ascii="Calibri" w:eastAsia="微软雅黑" w:hAnsi="Calibri" w:cs="Calibri"/>
          <w:color w:val="333333"/>
          <w:kern w:val="0"/>
          <w:szCs w:val="21"/>
        </w:rPr>
        <w:t>200</w:t>
      </w:r>
      <w:r w:rsidRPr="00A62120">
        <w:rPr>
          <w:rFonts w:ascii="宋体" w:eastAsia="宋体" w:hAnsi="宋体" w:cs="宋体" w:hint="eastAsia"/>
          <w:color w:val="333333"/>
          <w:kern w:val="0"/>
          <w:szCs w:val="21"/>
        </w:rPr>
        <w:t>万元</w:t>
      </w:r>
      <w:r w:rsidRPr="00A62120">
        <w:rPr>
          <w:rFonts w:ascii="Calibri" w:eastAsia="微软雅黑" w:hAnsi="Calibri" w:cs="Calibri"/>
          <w:color w:val="333333"/>
          <w:kern w:val="0"/>
          <w:szCs w:val="21"/>
        </w:rPr>
        <w:t>/</w:t>
      </w:r>
      <w:proofErr w:type="gramStart"/>
      <w:r w:rsidRPr="00A62120">
        <w:rPr>
          <w:rFonts w:ascii="宋体" w:eastAsia="宋体" w:hAnsi="宋体" w:cs="宋体" w:hint="eastAsia"/>
          <w:color w:val="333333"/>
          <w:kern w:val="0"/>
          <w:szCs w:val="21"/>
        </w:rPr>
        <w:t>亩以上</w:t>
      </w:r>
      <w:proofErr w:type="gramEnd"/>
      <w:r w:rsidRPr="00A62120">
        <w:rPr>
          <w:rFonts w:ascii="宋体" w:eastAsia="宋体" w:hAnsi="宋体" w:cs="宋体" w:hint="eastAsia"/>
          <w:color w:val="333333"/>
          <w:kern w:val="0"/>
          <w:szCs w:val="21"/>
        </w:rPr>
        <w:t>的工业企业，经县项目联审小组认定后，可在本县落户。</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2</w:t>
      </w:r>
      <w:r w:rsidRPr="00A62120">
        <w:rPr>
          <w:rFonts w:ascii="宋体" w:eastAsia="宋体" w:hAnsi="宋体" w:cs="宋体" w:hint="eastAsia"/>
          <w:color w:val="333333"/>
          <w:kern w:val="0"/>
          <w:szCs w:val="21"/>
        </w:rPr>
        <w:t>、新办的工业企业原则上落户在我县</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一园三基地</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内。如确实需要落户</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一园三基地</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以外的工业企业，选址必须符合我县土地利用总体规划及建设规划要求。</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3</w:t>
      </w:r>
      <w:r w:rsidRPr="00A62120">
        <w:rPr>
          <w:rFonts w:ascii="宋体" w:eastAsia="宋体" w:hAnsi="宋体" w:cs="宋体" w:hint="eastAsia"/>
          <w:color w:val="333333"/>
          <w:kern w:val="0"/>
          <w:szCs w:val="21"/>
        </w:rPr>
        <w:t>、新办的工业企业用地规模必须严格遵守集约用地原则，用地面积须报政府常务会或县长办公会审定。</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4</w:t>
      </w:r>
      <w:r w:rsidRPr="00A62120">
        <w:rPr>
          <w:rFonts w:ascii="宋体" w:eastAsia="宋体" w:hAnsi="宋体" w:cs="宋体" w:hint="eastAsia"/>
          <w:color w:val="333333"/>
          <w:kern w:val="0"/>
          <w:szCs w:val="21"/>
        </w:rPr>
        <w:t>、在本县</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一园三基地</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投资新办的工业企业，按照</w:t>
      </w:r>
      <w:r w:rsidRPr="00A62120">
        <w:rPr>
          <w:rFonts w:ascii="Calibri" w:eastAsia="微软雅黑" w:hAnsi="Calibri" w:cs="Calibri"/>
          <w:color w:val="333333"/>
          <w:kern w:val="0"/>
          <w:szCs w:val="21"/>
        </w:rPr>
        <w:t>10</w:t>
      </w:r>
      <w:r w:rsidRPr="00A62120">
        <w:rPr>
          <w:rFonts w:ascii="宋体" w:eastAsia="宋体" w:hAnsi="宋体" w:cs="宋体" w:hint="eastAsia"/>
          <w:color w:val="333333"/>
          <w:kern w:val="0"/>
          <w:szCs w:val="21"/>
        </w:rPr>
        <w:t>万元</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亩的价格供给建设用地。对在本县</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一园三基地</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以外选址投资新办的工业企业，按照实际征地、拆迁、报批、办证等费用执行成本价供地，水、电、道路等基础设施及土地平整由企业自行承担。</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5</w:t>
      </w:r>
      <w:r w:rsidRPr="00A62120">
        <w:rPr>
          <w:rFonts w:ascii="宋体" w:eastAsia="宋体" w:hAnsi="宋体" w:cs="宋体" w:hint="eastAsia"/>
          <w:color w:val="333333"/>
          <w:kern w:val="0"/>
          <w:szCs w:val="21"/>
        </w:rPr>
        <w:t>、对固定资产投资亿元以上，科技含量高，税收大的龙头带动型新办工业企业，实行</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一事一议</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办法，由政府研究决定扶持政策。</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宋体" w:eastAsia="宋体" w:hAnsi="宋体" w:cs="宋体" w:hint="eastAsia"/>
          <w:color w:val="333333"/>
          <w:kern w:val="0"/>
          <w:szCs w:val="21"/>
        </w:rPr>
        <w:t xml:space="preserve">　　</w:t>
      </w:r>
      <w:r w:rsidRPr="00A62120">
        <w:rPr>
          <w:rFonts w:ascii="宋体" w:eastAsia="宋体" w:hAnsi="宋体" w:cs="宋体" w:hint="eastAsia"/>
          <w:b/>
          <w:bCs/>
          <w:color w:val="333333"/>
          <w:kern w:val="0"/>
          <w:szCs w:val="21"/>
        </w:rPr>
        <w:t>二、财政政策</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宋体" w:eastAsia="宋体" w:hAnsi="宋体" w:cs="宋体" w:hint="eastAsia"/>
          <w:color w:val="333333"/>
          <w:kern w:val="0"/>
          <w:szCs w:val="21"/>
        </w:rPr>
        <w:t xml:space="preserve">　　固定资产投资</w:t>
      </w:r>
      <w:r w:rsidRPr="00A62120">
        <w:rPr>
          <w:rFonts w:ascii="Calibri" w:eastAsia="微软雅黑" w:hAnsi="Calibri" w:cs="Calibri"/>
          <w:color w:val="333333"/>
          <w:kern w:val="0"/>
          <w:szCs w:val="21"/>
        </w:rPr>
        <w:t>2000</w:t>
      </w:r>
      <w:r w:rsidRPr="00A62120">
        <w:rPr>
          <w:rFonts w:ascii="宋体" w:eastAsia="宋体" w:hAnsi="宋体" w:cs="宋体" w:hint="eastAsia"/>
          <w:color w:val="333333"/>
          <w:kern w:val="0"/>
          <w:szCs w:val="21"/>
        </w:rPr>
        <w:t>万元以上且在投产后达到</w:t>
      </w:r>
      <w:r w:rsidRPr="00A62120">
        <w:rPr>
          <w:rFonts w:ascii="Calibri" w:eastAsia="微软雅黑" w:hAnsi="Calibri" w:cs="Calibri"/>
          <w:color w:val="333333"/>
          <w:kern w:val="0"/>
          <w:szCs w:val="21"/>
        </w:rPr>
        <w:t>5</w:t>
      </w:r>
      <w:r w:rsidRPr="00A62120">
        <w:rPr>
          <w:rFonts w:ascii="宋体" w:eastAsia="宋体" w:hAnsi="宋体" w:cs="宋体" w:hint="eastAsia"/>
          <w:color w:val="333333"/>
          <w:kern w:val="0"/>
          <w:szCs w:val="21"/>
        </w:rPr>
        <w:t>万元</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亩</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年纳税额的工业企业，自企业建成投产后第</w:t>
      </w:r>
      <w:r w:rsidRPr="00A62120">
        <w:rPr>
          <w:rFonts w:ascii="Calibri" w:eastAsia="微软雅黑" w:hAnsi="Calibri" w:cs="Calibri"/>
          <w:color w:val="333333"/>
          <w:kern w:val="0"/>
          <w:szCs w:val="21"/>
        </w:rPr>
        <w:t>1</w:t>
      </w:r>
      <w:r w:rsidRPr="00A62120">
        <w:rPr>
          <w:rFonts w:ascii="宋体" w:eastAsia="宋体" w:hAnsi="宋体" w:cs="宋体" w:hint="eastAsia"/>
          <w:color w:val="333333"/>
          <w:kern w:val="0"/>
          <w:szCs w:val="21"/>
        </w:rPr>
        <w:t>、第</w:t>
      </w:r>
      <w:r w:rsidRPr="00A62120">
        <w:rPr>
          <w:rFonts w:ascii="Calibri" w:eastAsia="微软雅黑" w:hAnsi="Calibri" w:cs="Calibri"/>
          <w:color w:val="333333"/>
          <w:kern w:val="0"/>
          <w:szCs w:val="21"/>
        </w:rPr>
        <w:t>2</w:t>
      </w:r>
      <w:r w:rsidRPr="00A62120">
        <w:rPr>
          <w:rFonts w:ascii="宋体" w:eastAsia="宋体" w:hAnsi="宋体" w:cs="宋体" w:hint="eastAsia"/>
          <w:color w:val="333333"/>
          <w:kern w:val="0"/>
          <w:szCs w:val="21"/>
        </w:rPr>
        <w:t>、第</w:t>
      </w:r>
      <w:r w:rsidRPr="00A62120">
        <w:rPr>
          <w:rFonts w:ascii="Calibri" w:eastAsia="微软雅黑" w:hAnsi="Calibri" w:cs="Calibri"/>
          <w:color w:val="333333"/>
          <w:kern w:val="0"/>
          <w:szCs w:val="21"/>
        </w:rPr>
        <w:t>3</w:t>
      </w:r>
      <w:r w:rsidRPr="00A62120">
        <w:rPr>
          <w:rFonts w:ascii="宋体" w:eastAsia="宋体" w:hAnsi="宋体" w:cs="宋体" w:hint="eastAsia"/>
          <w:color w:val="333333"/>
          <w:kern w:val="0"/>
          <w:szCs w:val="21"/>
        </w:rPr>
        <w:t>年，由受益财政按企业当年实际缴纳税收地方留成部分的</w:t>
      </w:r>
      <w:r w:rsidRPr="00A62120">
        <w:rPr>
          <w:rFonts w:ascii="Calibri" w:eastAsia="微软雅黑" w:hAnsi="Calibri" w:cs="Calibri"/>
          <w:color w:val="333333"/>
          <w:kern w:val="0"/>
          <w:szCs w:val="21"/>
        </w:rPr>
        <w:t>30%</w:t>
      </w:r>
      <w:r w:rsidRPr="00A62120">
        <w:rPr>
          <w:rFonts w:ascii="宋体" w:eastAsia="宋体" w:hAnsi="宋体" w:cs="宋体" w:hint="eastAsia"/>
          <w:color w:val="333333"/>
          <w:kern w:val="0"/>
          <w:szCs w:val="21"/>
        </w:rPr>
        <w:t>奖励给企业（实行先征后奖），用于支持企业发展。</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宋体" w:eastAsia="宋体" w:hAnsi="宋体" w:cs="宋体" w:hint="eastAsia"/>
          <w:color w:val="333333"/>
          <w:kern w:val="0"/>
          <w:szCs w:val="21"/>
        </w:rPr>
        <w:t xml:space="preserve">　　</w:t>
      </w:r>
      <w:r w:rsidRPr="00A62120">
        <w:rPr>
          <w:rFonts w:ascii="宋体" w:eastAsia="宋体" w:hAnsi="宋体" w:cs="宋体" w:hint="eastAsia"/>
          <w:b/>
          <w:bCs/>
          <w:color w:val="333333"/>
          <w:kern w:val="0"/>
          <w:szCs w:val="21"/>
        </w:rPr>
        <w:t>三、</w:t>
      </w:r>
      <w:proofErr w:type="gramStart"/>
      <w:r w:rsidRPr="00A62120">
        <w:rPr>
          <w:rFonts w:ascii="宋体" w:eastAsia="宋体" w:hAnsi="宋体" w:cs="宋体" w:hint="eastAsia"/>
          <w:b/>
          <w:bCs/>
          <w:color w:val="333333"/>
          <w:kern w:val="0"/>
          <w:szCs w:val="21"/>
        </w:rPr>
        <w:t>规</w:t>
      </w:r>
      <w:proofErr w:type="gramEnd"/>
      <w:r w:rsidRPr="00A62120">
        <w:rPr>
          <w:rFonts w:ascii="宋体" w:eastAsia="宋体" w:hAnsi="宋体" w:cs="宋体" w:hint="eastAsia"/>
          <w:b/>
          <w:bCs/>
          <w:color w:val="333333"/>
          <w:kern w:val="0"/>
          <w:szCs w:val="21"/>
        </w:rPr>
        <w:t>费政策</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1</w:t>
      </w:r>
      <w:r w:rsidRPr="00A62120">
        <w:rPr>
          <w:rFonts w:ascii="宋体" w:eastAsia="宋体" w:hAnsi="宋体" w:cs="宋体" w:hint="eastAsia"/>
          <w:color w:val="333333"/>
          <w:kern w:val="0"/>
          <w:szCs w:val="21"/>
        </w:rPr>
        <w:t>、各种</w:t>
      </w:r>
      <w:proofErr w:type="gramStart"/>
      <w:r w:rsidRPr="00A62120">
        <w:rPr>
          <w:rFonts w:ascii="宋体" w:eastAsia="宋体" w:hAnsi="宋体" w:cs="宋体" w:hint="eastAsia"/>
          <w:color w:val="333333"/>
          <w:kern w:val="0"/>
          <w:szCs w:val="21"/>
        </w:rPr>
        <w:t>规</w:t>
      </w:r>
      <w:proofErr w:type="gramEnd"/>
      <w:r w:rsidRPr="00A62120">
        <w:rPr>
          <w:rFonts w:ascii="宋体" w:eastAsia="宋体" w:hAnsi="宋体" w:cs="宋体" w:hint="eastAsia"/>
          <w:color w:val="333333"/>
          <w:kern w:val="0"/>
          <w:szCs w:val="21"/>
        </w:rPr>
        <w:t>费收取严格按照</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收费公示</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和</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收费许可证</w:t>
      </w:r>
      <w:r w:rsidRPr="00A62120">
        <w:rPr>
          <w:rFonts w:ascii="Calibri" w:eastAsia="微软雅黑" w:hAnsi="Calibri" w:cs="Calibri"/>
          <w:color w:val="333333"/>
          <w:kern w:val="0"/>
          <w:szCs w:val="21"/>
        </w:rPr>
        <w:t>”</w:t>
      </w:r>
      <w:r w:rsidRPr="00A62120">
        <w:rPr>
          <w:rFonts w:ascii="宋体" w:eastAsia="宋体" w:hAnsi="宋体" w:cs="宋体" w:hint="eastAsia"/>
          <w:color w:val="333333"/>
          <w:kern w:val="0"/>
          <w:szCs w:val="21"/>
        </w:rPr>
        <w:t>制定执行，不准乱收费、搭车收费。</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2</w:t>
      </w:r>
      <w:r w:rsidRPr="00A62120">
        <w:rPr>
          <w:rFonts w:ascii="宋体" w:eastAsia="宋体" w:hAnsi="宋体" w:cs="宋体" w:hint="eastAsia"/>
          <w:color w:val="333333"/>
          <w:kern w:val="0"/>
          <w:szCs w:val="21"/>
        </w:rPr>
        <w:t>、新办的工业企业从企业立项到项目建设期间所发生的县级行政事业收费（除工本费外），按最低标准的</w:t>
      </w:r>
      <w:r w:rsidRPr="00A62120">
        <w:rPr>
          <w:rFonts w:ascii="Calibri" w:eastAsia="微软雅黑" w:hAnsi="Calibri" w:cs="Calibri"/>
          <w:color w:val="333333"/>
          <w:kern w:val="0"/>
          <w:szCs w:val="21"/>
        </w:rPr>
        <w:t>20%</w:t>
      </w:r>
      <w:r w:rsidRPr="00A62120">
        <w:rPr>
          <w:rFonts w:ascii="宋体" w:eastAsia="宋体" w:hAnsi="宋体" w:cs="宋体" w:hint="eastAsia"/>
          <w:color w:val="333333"/>
          <w:kern w:val="0"/>
          <w:szCs w:val="21"/>
        </w:rPr>
        <w:t>收取，服务性收费按最低标准的</w:t>
      </w:r>
      <w:r w:rsidRPr="00A62120">
        <w:rPr>
          <w:rFonts w:ascii="Calibri" w:eastAsia="微软雅黑" w:hAnsi="Calibri" w:cs="Calibri"/>
          <w:color w:val="333333"/>
          <w:kern w:val="0"/>
          <w:szCs w:val="21"/>
        </w:rPr>
        <w:t>50%</w:t>
      </w:r>
      <w:r w:rsidRPr="00A62120">
        <w:rPr>
          <w:rFonts w:ascii="宋体" w:eastAsia="宋体" w:hAnsi="宋体" w:cs="宋体" w:hint="eastAsia"/>
          <w:color w:val="333333"/>
          <w:kern w:val="0"/>
          <w:szCs w:val="21"/>
        </w:rPr>
        <w:t>收取。</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宋体" w:eastAsia="宋体" w:hAnsi="宋体" w:cs="宋体" w:hint="eastAsia"/>
          <w:color w:val="333333"/>
          <w:kern w:val="0"/>
          <w:szCs w:val="21"/>
        </w:rPr>
        <w:lastRenderedPageBreak/>
        <w:t xml:space="preserve">　　</w:t>
      </w:r>
      <w:r w:rsidRPr="00A62120">
        <w:rPr>
          <w:rFonts w:ascii="宋体" w:eastAsia="宋体" w:hAnsi="宋体" w:cs="宋体" w:hint="eastAsia"/>
          <w:b/>
          <w:bCs/>
          <w:color w:val="333333"/>
          <w:kern w:val="0"/>
          <w:szCs w:val="21"/>
        </w:rPr>
        <w:t>四、附则</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1</w:t>
      </w:r>
      <w:r w:rsidRPr="00A62120">
        <w:rPr>
          <w:rFonts w:ascii="宋体" w:eastAsia="宋体" w:hAnsi="宋体" w:cs="宋体" w:hint="eastAsia"/>
          <w:color w:val="333333"/>
          <w:kern w:val="0"/>
          <w:szCs w:val="21"/>
        </w:rPr>
        <w:t>、本办法适用于在我县投资新办固定资产投资</w:t>
      </w:r>
      <w:r w:rsidRPr="00A62120">
        <w:rPr>
          <w:rFonts w:ascii="Calibri" w:eastAsia="微软雅黑" w:hAnsi="Calibri" w:cs="Calibri"/>
          <w:color w:val="333333"/>
          <w:kern w:val="0"/>
          <w:szCs w:val="21"/>
        </w:rPr>
        <w:t>2000</w:t>
      </w:r>
      <w:r w:rsidRPr="00A62120">
        <w:rPr>
          <w:rFonts w:ascii="宋体" w:eastAsia="宋体" w:hAnsi="宋体" w:cs="宋体" w:hint="eastAsia"/>
          <w:color w:val="333333"/>
          <w:kern w:val="0"/>
          <w:szCs w:val="21"/>
        </w:rPr>
        <w:t>万元以上的工业企业。</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2</w:t>
      </w:r>
      <w:r w:rsidRPr="00A62120">
        <w:rPr>
          <w:rFonts w:ascii="宋体" w:eastAsia="宋体" w:hAnsi="宋体" w:cs="宋体" w:hint="eastAsia"/>
          <w:color w:val="333333"/>
          <w:kern w:val="0"/>
          <w:szCs w:val="21"/>
        </w:rPr>
        <w:t>、新办的工业企业未按投资协议规定的建设期限竣工投产且未按期达产达标的，不享受上述优惠政策。</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3</w:t>
      </w:r>
      <w:r w:rsidRPr="00A62120">
        <w:rPr>
          <w:rFonts w:ascii="宋体" w:eastAsia="宋体" w:hAnsi="宋体" w:cs="宋体" w:hint="eastAsia"/>
          <w:color w:val="333333"/>
          <w:kern w:val="0"/>
          <w:szCs w:val="21"/>
        </w:rPr>
        <w:t>、本办法所指固定资产投资仅指企业建筑物、生产设备的投资，不包括购置土地款。</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4</w:t>
      </w:r>
      <w:r w:rsidRPr="00A62120">
        <w:rPr>
          <w:rFonts w:ascii="宋体" w:eastAsia="宋体" w:hAnsi="宋体" w:cs="宋体" w:hint="eastAsia"/>
          <w:color w:val="333333"/>
          <w:kern w:val="0"/>
          <w:szCs w:val="21"/>
        </w:rPr>
        <w:t>、本办法的兑现，由投资企业书面申请、县招商局牵头、会同财政、国税、地税、国土等部门审核后，提出确认意见、报县政府批准后兑现。</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5</w:t>
      </w:r>
      <w:r w:rsidRPr="00A62120">
        <w:rPr>
          <w:rFonts w:ascii="宋体" w:eastAsia="宋体" w:hAnsi="宋体" w:cs="宋体" w:hint="eastAsia"/>
          <w:color w:val="333333"/>
          <w:kern w:val="0"/>
          <w:szCs w:val="21"/>
        </w:rPr>
        <w:t>、本办法自</w:t>
      </w:r>
      <w:r w:rsidRPr="00A62120">
        <w:rPr>
          <w:rFonts w:ascii="Calibri" w:eastAsia="微软雅黑" w:hAnsi="Calibri" w:cs="Calibri"/>
          <w:color w:val="333333"/>
          <w:kern w:val="0"/>
          <w:szCs w:val="21"/>
        </w:rPr>
        <w:t>2012</w:t>
      </w:r>
      <w:r w:rsidRPr="00A62120">
        <w:rPr>
          <w:rFonts w:ascii="宋体" w:eastAsia="宋体" w:hAnsi="宋体" w:cs="宋体" w:hint="eastAsia"/>
          <w:color w:val="333333"/>
          <w:kern w:val="0"/>
          <w:szCs w:val="21"/>
        </w:rPr>
        <w:t>年</w:t>
      </w:r>
      <w:r w:rsidRPr="00A62120">
        <w:rPr>
          <w:rFonts w:ascii="Calibri" w:eastAsia="微软雅黑" w:hAnsi="Calibri" w:cs="Calibri"/>
          <w:color w:val="333333"/>
          <w:kern w:val="0"/>
          <w:szCs w:val="21"/>
        </w:rPr>
        <w:t>8</w:t>
      </w:r>
      <w:r w:rsidRPr="00A62120">
        <w:rPr>
          <w:rFonts w:ascii="宋体" w:eastAsia="宋体" w:hAnsi="宋体" w:cs="宋体" w:hint="eastAsia"/>
          <w:color w:val="333333"/>
          <w:kern w:val="0"/>
          <w:szCs w:val="21"/>
        </w:rPr>
        <w:t>月</w:t>
      </w:r>
      <w:r w:rsidRPr="00A62120">
        <w:rPr>
          <w:rFonts w:ascii="Calibri" w:eastAsia="微软雅黑" w:hAnsi="Calibri" w:cs="Calibri"/>
          <w:color w:val="333333"/>
          <w:kern w:val="0"/>
          <w:szCs w:val="21"/>
        </w:rPr>
        <w:t>1</w:t>
      </w:r>
      <w:r w:rsidRPr="00A62120">
        <w:rPr>
          <w:rFonts w:ascii="宋体" w:eastAsia="宋体" w:hAnsi="宋体" w:cs="宋体" w:hint="eastAsia"/>
          <w:color w:val="333333"/>
          <w:kern w:val="0"/>
          <w:szCs w:val="21"/>
        </w:rPr>
        <w:t>日起正式执行。在本办法出台前落户我县的工业企业按原政策执行。</w:t>
      </w:r>
    </w:p>
    <w:p w:rsidR="00A62120" w:rsidRPr="00A62120" w:rsidRDefault="00A62120" w:rsidP="00A62120">
      <w:pPr>
        <w:widowControl/>
        <w:shd w:val="clear" w:color="auto" w:fill="FFFFFF"/>
        <w:wordWrap w:val="0"/>
        <w:spacing w:line="441" w:lineRule="atLeast"/>
        <w:jc w:val="left"/>
        <w:rPr>
          <w:rFonts w:ascii="微软雅黑" w:eastAsia="微软雅黑" w:hAnsi="微软雅黑" w:cs="宋体" w:hint="eastAsia"/>
          <w:color w:val="333333"/>
          <w:kern w:val="0"/>
          <w:szCs w:val="21"/>
        </w:rPr>
      </w:pPr>
      <w:r w:rsidRPr="00A62120">
        <w:rPr>
          <w:rFonts w:ascii="微软雅黑" w:eastAsia="微软雅黑" w:hAnsi="微软雅黑" w:cs="宋体" w:hint="eastAsia"/>
          <w:color w:val="333333"/>
          <w:kern w:val="0"/>
          <w:szCs w:val="21"/>
        </w:rPr>
        <w:t xml:space="preserve">　　</w:t>
      </w:r>
      <w:r w:rsidRPr="00A62120">
        <w:rPr>
          <w:rFonts w:ascii="Calibri" w:eastAsia="微软雅黑" w:hAnsi="Calibri" w:cs="Calibri"/>
          <w:color w:val="333333"/>
          <w:kern w:val="0"/>
          <w:szCs w:val="21"/>
        </w:rPr>
        <w:t>6</w:t>
      </w:r>
      <w:r w:rsidRPr="00A62120">
        <w:rPr>
          <w:rFonts w:ascii="宋体" w:eastAsia="宋体" w:hAnsi="宋体" w:cs="宋体" w:hint="eastAsia"/>
          <w:color w:val="333333"/>
          <w:kern w:val="0"/>
          <w:szCs w:val="21"/>
        </w:rPr>
        <w:t>、本办法由浮梁县开放型经济工作领导小组办公室负责解释。</w:t>
      </w:r>
    </w:p>
    <w:p w:rsidR="00890BF1" w:rsidRPr="00A62120" w:rsidRDefault="00890BF1"/>
    <w:sectPr w:rsidR="00890BF1" w:rsidRPr="00A62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20"/>
    <w:rsid w:val="00890BF1"/>
    <w:rsid w:val="00A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E3DFF-328A-4625-8582-9FDDF88C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temviews">
    <w:name w:val="item_views"/>
    <w:basedOn w:val="a0"/>
    <w:rsid w:val="00A62120"/>
  </w:style>
  <w:style w:type="paragraph" w:styleId="a3">
    <w:name w:val="Normal (Web)"/>
    <w:basedOn w:val="a"/>
    <w:uiPriority w:val="99"/>
    <w:semiHidden/>
    <w:unhideWhenUsed/>
    <w:rsid w:val="00A621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2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33456">
      <w:bodyDiv w:val="1"/>
      <w:marLeft w:val="0"/>
      <w:marRight w:val="0"/>
      <w:marTop w:val="0"/>
      <w:marBottom w:val="0"/>
      <w:divBdr>
        <w:top w:val="none" w:sz="0" w:space="0" w:color="auto"/>
        <w:left w:val="none" w:sz="0" w:space="0" w:color="auto"/>
        <w:bottom w:val="none" w:sz="0" w:space="0" w:color="auto"/>
        <w:right w:val="none" w:sz="0" w:space="0" w:color="auto"/>
      </w:divBdr>
      <w:divsChild>
        <w:div w:id="61560458">
          <w:marLeft w:val="0"/>
          <w:marRight w:val="0"/>
          <w:marTop w:val="0"/>
          <w:marBottom w:val="300"/>
          <w:divBdr>
            <w:top w:val="none" w:sz="0" w:space="0" w:color="auto"/>
            <w:left w:val="none" w:sz="0" w:space="0" w:color="auto"/>
            <w:bottom w:val="none" w:sz="0" w:space="0" w:color="auto"/>
            <w:right w:val="none" w:sz="0" w:space="0" w:color="auto"/>
          </w:divBdr>
        </w:div>
        <w:div w:id="131363233">
          <w:marLeft w:val="0"/>
          <w:marRight w:val="0"/>
          <w:marTop w:val="0"/>
          <w:marBottom w:val="225"/>
          <w:divBdr>
            <w:top w:val="none" w:sz="0" w:space="0" w:color="auto"/>
            <w:left w:val="none" w:sz="0" w:space="0" w:color="auto"/>
            <w:bottom w:val="single" w:sz="18" w:space="3" w:color="0071CF"/>
            <w:right w:val="none" w:sz="0" w:space="0" w:color="auto"/>
          </w:divBdr>
        </w:div>
        <w:div w:id="147653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2018-05-05T08:54:00Z</dcterms:created>
  <dcterms:modified xsi:type="dcterms:W3CDTF">2018-05-05T08:54:00Z</dcterms:modified>
</cp:coreProperties>
</file>