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F11E8" w:rsidRPr="007F11E8" w:rsidTr="007F11E8">
        <w:trPr>
          <w:trHeight w:val="450"/>
          <w:tblCellSpacing w:w="0" w:type="dxa"/>
        </w:trPr>
        <w:tc>
          <w:tcPr>
            <w:tcW w:w="0" w:type="auto"/>
            <w:shd w:val="clear" w:color="auto" w:fill="FFFFFF"/>
            <w:vAlign w:val="center"/>
            <w:hideMark/>
          </w:tcPr>
          <w:p w:rsidR="007F11E8" w:rsidRPr="007F11E8" w:rsidRDefault="007F11E8" w:rsidP="007F11E8">
            <w:pPr>
              <w:widowControl/>
              <w:spacing w:before="300"/>
              <w:jc w:val="center"/>
              <w:rPr>
                <w:rFonts w:ascii="黑体" w:eastAsia="黑体" w:hAnsi="黑体" w:cs="宋体"/>
                <w:b/>
                <w:bCs/>
                <w:color w:val="000000"/>
                <w:kern w:val="0"/>
                <w:sz w:val="29"/>
                <w:szCs w:val="29"/>
              </w:rPr>
            </w:pPr>
            <w:r w:rsidRPr="007F11E8">
              <w:rPr>
                <w:rFonts w:ascii="黑体" w:eastAsia="黑体" w:hAnsi="黑体" w:cs="宋体" w:hint="eastAsia"/>
                <w:b/>
                <w:bCs/>
                <w:color w:val="000000"/>
                <w:kern w:val="0"/>
                <w:sz w:val="29"/>
                <w:szCs w:val="29"/>
              </w:rPr>
              <w:t>镇江市润州区产业转型发展引导基金管理办法</w:t>
            </w:r>
          </w:p>
        </w:tc>
      </w:tr>
      <w:tr w:rsidR="007F11E8" w:rsidRPr="007F11E8" w:rsidTr="007F11E8">
        <w:trPr>
          <w:trHeight w:val="450"/>
          <w:tblCellSpacing w:w="0" w:type="dxa"/>
        </w:trPr>
        <w:tc>
          <w:tcPr>
            <w:tcW w:w="0" w:type="auto"/>
            <w:shd w:val="clear" w:color="auto" w:fill="FFFFFF"/>
            <w:vAlign w:val="center"/>
            <w:hideMark/>
          </w:tcPr>
          <w:p w:rsidR="007F11E8" w:rsidRPr="007F11E8" w:rsidRDefault="007F11E8" w:rsidP="007F11E8">
            <w:pPr>
              <w:widowControl/>
              <w:spacing w:before="300"/>
              <w:jc w:val="center"/>
              <w:rPr>
                <w:rFonts w:ascii="宋体" w:eastAsia="宋体" w:hAnsi="宋体" w:cs="宋体"/>
                <w:color w:val="000000"/>
                <w:kern w:val="0"/>
                <w:sz w:val="18"/>
                <w:szCs w:val="18"/>
              </w:rPr>
            </w:pPr>
            <w:r w:rsidRPr="007F11E8">
              <w:rPr>
                <w:rFonts w:ascii="宋体" w:eastAsia="宋体" w:hAnsi="宋体" w:cs="宋体"/>
                <w:noProof/>
                <w:color w:val="000000"/>
                <w:kern w:val="0"/>
                <w:sz w:val="18"/>
                <w:szCs w:val="18"/>
              </w:rPr>
              <w:drawing>
                <wp:inline distT="0" distB="0" distL="0" distR="0">
                  <wp:extent cx="7258050" cy="228600"/>
                  <wp:effectExtent l="0" t="0" r="0" b="0"/>
                  <wp:docPr id="1" name="图片 1" descr="http://www.runzhou.gov.cn/rzxx/nrgl/templateFile/1084/images/gj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nzhou.gov.cn/rzxx/nrgl/templateFile/1084/images/gj_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8050" cy="228600"/>
                          </a:xfrm>
                          <a:prstGeom prst="rect">
                            <a:avLst/>
                          </a:prstGeom>
                          <a:noFill/>
                          <a:ln>
                            <a:noFill/>
                          </a:ln>
                        </pic:spPr>
                      </pic:pic>
                    </a:graphicData>
                  </a:graphic>
                </wp:inline>
              </w:drawing>
            </w:r>
          </w:p>
        </w:tc>
      </w:tr>
      <w:tr w:rsidR="007F11E8" w:rsidRPr="007F11E8" w:rsidTr="007F11E8">
        <w:trPr>
          <w:trHeight w:val="450"/>
          <w:tblCellSpacing w:w="0" w:type="dxa"/>
        </w:trPr>
        <w:tc>
          <w:tcPr>
            <w:tcW w:w="0" w:type="auto"/>
            <w:shd w:val="clear" w:color="auto" w:fill="FFFFFF"/>
            <w:vAlign w:val="center"/>
            <w:hideMark/>
          </w:tcPr>
          <w:p w:rsidR="007F11E8" w:rsidRPr="007F11E8" w:rsidRDefault="007F11E8" w:rsidP="007F11E8">
            <w:pPr>
              <w:widowControl/>
              <w:spacing w:before="300"/>
              <w:jc w:val="center"/>
              <w:rPr>
                <w:rFonts w:ascii="宋体" w:eastAsia="宋体" w:hAnsi="宋体" w:cs="宋体"/>
                <w:color w:val="000000"/>
                <w:kern w:val="0"/>
                <w:sz w:val="18"/>
                <w:szCs w:val="18"/>
              </w:rPr>
            </w:pPr>
            <w:r w:rsidRPr="007F11E8">
              <w:rPr>
                <w:rFonts w:ascii="宋体" w:eastAsia="宋体" w:hAnsi="宋体" w:cs="宋体" w:hint="eastAsia"/>
                <w:color w:val="000000"/>
                <w:kern w:val="0"/>
                <w:sz w:val="18"/>
                <w:szCs w:val="18"/>
              </w:rPr>
              <w:t> </w:t>
            </w:r>
          </w:p>
        </w:tc>
      </w:tr>
    </w:tbl>
    <w:p w:rsidR="007F11E8" w:rsidRPr="007F11E8" w:rsidRDefault="007F11E8" w:rsidP="007F11E8">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firstRow="1" w:lastRow="0" w:firstColumn="1" w:lastColumn="0" w:noHBand="0" w:noVBand="1"/>
      </w:tblPr>
      <w:tblGrid>
        <w:gridCol w:w="7808"/>
      </w:tblGrid>
      <w:tr w:rsidR="007F11E8" w:rsidRPr="007F11E8" w:rsidTr="007F11E8">
        <w:trPr>
          <w:trHeight w:val="4500"/>
          <w:tblCellSpacing w:w="0" w:type="dxa"/>
        </w:trPr>
        <w:tc>
          <w:tcPr>
            <w:tcW w:w="0" w:type="auto"/>
            <w:shd w:val="clear" w:color="auto" w:fill="FFFFFF"/>
            <w:hideMark/>
          </w:tcPr>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t>第一章　总　则</w:t>
            </w:r>
          </w:p>
          <w:p w:rsidR="007F11E8" w:rsidRPr="007F11E8" w:rsidRDefault="007F11E8" w:rsidP="007F11E8">
            <w:pPr>
              <w:widowControl/>
              <w:shd w:val="clear" w:color="auto" w:fill="FFFFFF"/>
              <w:spacing w:line="420" w:lineRule="atLeast"/>
              <w:jc w:val="left"/>
              <w:rPr>
                <w:rFonts w:ascii="Calibri" w:eastAsia="宋体" w:hAnsi="Calibri" w:cs="Calibri"/>
                <w:color w:val="000000"/>
                <w:kern w:val="0"/>
                <w:szCs w:val="21"/>
              </w:rPr>
            </w:pPr>
            <w:r w:rsidRPr="007F11E8">
              <w:rPr>
                <w:rFonts w:ascii="Calibri" w:eastAsia="宋体" w:hAnsi="Calibri" w:cs="Calibri"/>
                <w:color w:val="000000"/>
                <w:kern w:val="0"/>
                <w:szCs w:val="21"/>
              </w:rPr>
              <w:t xml:space="preserve">　　第一条　为充分发挥财政资金杠杆引导和放大效应，推动全区产业转型升级和创新发展，根据有关法规政策规定，结合润州区实际，制定本办法。</w:t>
            </w:r>
          </w:p>
          <w:p w:rsidR="007F11E8" w:rsidRPr="007F11E8" w:rsidRDefault="007F11E8" w:rsidP="007F11E8">
            <w:pPr>
              <w:widowControl/>
              <w:shd w:val="clear" w:color="auto" w:fill="FFFFFF"/>
              <w:spacing w:line="420" w:lineRule="atLeast"/>
              <w:ind w:firstLine="585"/>
              <w:jc w:val="left"/>
              <w:rPr>
                <w:rFonts w:ascii="Calibri" w:eastAsia="宋体" w:hAnsi="Calibri" w:cs="Calibri"/>
                <w:color w:val="000000"/>
                <w:kern w:val="0"/>
                <w:szCs w:val="21"/>
              </w:rPr>
            </w:pPr>
            <w:r w:rsidRPr="007F11E8">
              <w:rPr>
                <w:rFonts w:ascii="Calibri" w:eastAsia="宋体" w:hAnsi="Calibri" w:cs="Calibri"/>
                <w:color w:val="000000"/>
                <w:kern w:val="0"/>
                <w:szCs w:val="21"/>
              </w:rPr>
              <w:t>第二条</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本办法所指产业转型发展引导基金（以下简称</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母基金</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），是指由润州区政府出资设立并按市场化方式运作的政策性基金。主要用于开展</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双招双引</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（招商引资、招才引智）活动，支持本区产业发展的股权投资基金（以下简称</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子基金</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引导社会资本投资于先进制造业、金融、文化创意、旅游、健康服务、软件与信息服务、低碳经济等现代服务业，聚焦支持我区城市经济发展、科技创新和产业优化升级，促进优质资本、项目、技术和人才向润州集聚。</w:t>
            </w:r>
          </w:p>
          <w:p w:rsidR="007F11E8" w:rsidRPr="007F11E8" w:rsidRDefault="007F11E8" w:rsidP="007F11E8">
            <w:pPr>
              <w:widowControl/>
              <w:shd w:val="clear" w:color="auto" w:fill="FFFFFF"/>
              <w:spacing w:line="420" w:lineRule="atLeast"/>
              <w:jc w:val="left"/>
              <w:rPr>
                <w:rFonts w:ascii="Calibri" w:eastAsia="宋体" w:hAnsi="Calibri" w:cs="Calibri"/>
                <w:color w:val="000000"/>
                <w:kern w:val="0"/>
                <w:szCs w:val="21"/>
              </w:rPr>
            </w:pP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第三条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首期规模</w:t>
            </w:r>
            <w:r w:rsidRPr="007F11E8">
              <w:rPr>
                <w:rFonts w:ascii="Calibri" w:eastAsia="宋体" w:hAnsi="Calibri" w:cs="Calibri"/>
                <w:color w:val="000000"/>
                <w:kern w:val="0"/>
                <w:szCs w:val="21"/>
              </w:rPr>
              <w:t>1</w:t>
            </w:r>
            <w:r w:rsidRPr="007F11E8">
              <w:rPr>
                <w:rFonts w:ascii="Calibri" w:eastAsia="宋体" w:hAnsi="Calibri" w:cs="Calibri"/>
                <w:color w:val="000000"/>
                <w:kern w:val="0"/>
                <w:szCs w:val="21"/>
              </w:rPr>
              <w:t>亿元，资金由区财政预算安排，视情况分期到位。</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第四条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遵循</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政府引导、市场运作、科学决策、防范风险</w:t>
            </w:r>
            <w:r w:rsidRPr="007F11E8">
              <w:rPr>
                <w:rFonts w:ascii="Calibri" w:eastAsia="宋体" w:hAnsi="Calibri" w:cs="Calibri"/>
                <w:color w:val="000000"/>
                <w:kern w:val="0"/>
                <w:szCs w:val="21"/>
              </w:rPr>
              <w:t>”</w:t>
            </w:r>
            <w:r w:rsidRPr="007F11E8">
              <w:rPr>
                <w:rFonts w:ascii="Calibri" w:eastAsia="宋体" w:hAnsi="Calibri" w:cs="Calibri"/>
                <w:color w:val="000000"/>
                <w:kern w:val="0"/>
                <w:szCs w:val="21"/>
              </w:rPr>
              <w:t>的原则，采取市场化方式运作。</w:t>
            </w:r>
          </w:p>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t>第二章　组织构架</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第五条</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区政府授权区财政局为母基金主管部门，负责研究制定</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的经营考核目标和激励约束监督机制，落实</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绩效考核与日常监督，保持规范运作。</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第六条</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区财政局委托区国有企业履行财政资金出资人职责。受托的区国有公司负责设立</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公司，成立股东会、董事会。</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公司独立核算，独立承担</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的法律责任。</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第七条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公司聘请专业机构作为</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第八条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管理公司履行职责如下：</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（一）负责</w:t>
            </w:r>
            <w:proofErr w:type="gramStart"/>
            <w:r w:rsidRPr="007F11E8">
              <w:rPr>
                <w:rFonts w:ascii="Calibri" w:eastAsia="宋体" w:hAnsi="Calibri" w:cs="Calibri"/>
                <w:color w:val="000000"/>
                <w:kern w:val="0"/>
                <w:szCs w:val="21"/>
              </w:rPr>
              <w:t>从具备</w:t>
            </w:r>
            <w:proofErr w:type="gramEnd"/>
            <w:r w:rsidRPr="007F11E8">
              <w:rPr>
                <w:rFonts w:ascii="Calibri" w:eastAsia="宋体" w:hAnsi="Calibri" w:cs="Calibri"/>
                <w:color w:val="000000"/>
                <w:kern w:val="0"/>
                <w:szCs w:val="21"/>
              </w:rPr>
              <w:t>行业资质、业绩优良的知名基金团队中遴选出合作伙伴，设立子基金；</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（二）对子基金管理团队提交的资料及方案做尽职调查，并进行初步筛选；</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（三）提出</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组建方案，报董事会审定。组建方案应包括政策意图、</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总规模、财政出资额度、投资方向、受托管理机构、风险管控等主要内容；</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（四）负责</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的日常管理运作、执行经董事会批准的投资方案和决议等；</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（五）</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对已定子基金组建方案进行调整变动；</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lastRenderedPageBreak/>
              <w:t>（六）监督</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托管银行的托管工作、跟进</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投资活动情况并针对重大变动及时制定调整方案，加强投后管理；</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（七）定期向董事会报送</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运作情况报告。</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 xml:space="preserve">第九条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管理公司委托在本区有分支机构的商业银行对</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进行资金托管。托管银行按照托管协议，负责资产保管、资金拨付和结算等日常工作，并对投资活动进行动态监管，定期向母基金管理公司提交监管报告。</w:t>
            </w:r>
          </w:p>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t>第三章</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投资运作</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第十条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以股权投资的方式进行出资，唯一运作方式为参股设立子基金。</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仅作为有限合伙人，不参与具体经营且不能成为最大出资人。</w:t>
            </w:r>
          </w:p>
          <w:p w:rsidR="007F11E8" w:rsidRPr="007F11E8" w:rsidRDefault="007F11E8" w:rsidP="007F11E8">
            <w:pPr>
              <w:widowControl/>
              <w:shd w:val="clear" w:color="auto" w:fill="FFFFFF"/>
              <w:spacing w:line="420" w:lineRule="atLeast"/>
              <w:ind w:firstLine="585"/>
              <w:jc w:val="left"/>
              <w:rPr>
                <w:rFonts w:ascii="Calibri" w:eastAsia="宋体" w:hAnsi="Calibri" w:cs="Calibri"/>
                <w:color w:val="000000"/>
                <w:kern w:val="0"/>
                <w:szCs w:val="21"/>
              </w:rPr>
            </w:pPr>
            <w:r w:rsidRPr="007F11E8">
              <w:rPr>
                <w:rFonts w:ascii="Calibri" w:eastAsia="宋体" w:hAnsi="Calibri" w:cs="Calibri"/>
                <w:color w:val="000000"/>
                <w:kern w:val="0"/>
                <w:szCs w:val="21"/>
              </w:rPr>
              <w:t>第十一条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参股设立子基金，出资比例原则上不超过</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实收资本的</w:t>
            </w:r>
            <w:r w:rsidRPr="007F11E8">
              <w:rPr>
                <w:rFonts w:ascii="Calibri" w:eastAsia="宋体" w:hAnsi="Calibri" w:cs="Calibri"/>
                <w:color w:val="000000"/>
                <w:kern w:val="0"/>
                <w:szCs w:val="21"/>
              </w:rPr>
              <w:t>30%</w:t>
            </w:r>
            <w:r w:rsidRPr="007F11E8">
              <w:rPr>
                <w:rFonts w:ascii="Calibri" w:eastAsia="宋体" w:hAnsi="Calibri" w:cs="Calibri"/>
                <w:color w:val="000000"/>
                <w:kern w:val="0"/>
                <w:szCs w:val="21"/>
              </w:rPr>
              <w:t>。</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第十二条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需满足以下具体要求：</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（一）注册地。</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及其管理机构应当在镇江市润州区依法设立并注册，组织形式为公司制或有限合伙制；</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（二）出资额。</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对单个项目的累计投资额不得超过</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自身注册资本的</w:t>
            </w:r>
            <w:r w:rsidRPr="007F11E8">
              <w:rPr>
                <w:rFonts w:ascii="Calibri" w:eastAsia="宋体" w:hAnsi="Calibri" w:cs="Calibri"/>
                <w:color w:val="000000"/>
                <w:kern w:val="0"/>
                <w:szCs w:val="21"/>
              </w:rPr>
              <w:t>30%</w:t>
            </w:r>
            <w:r w:rsidRPr="007F11E8">
              <w:rPr>
                <w:rFonts w:ascii="Calibri" w:eastAsia="宋体" w:hAnsi="Calibri" w:cs="Calibri"/>
                <w:color w:val="000000"/>
                <w:kern w:val="0"/>
                <w:szCs w:val="21"/>
              </w:rPr>
              <w:t>。</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对本区内投资应保持一定额度，原则上按市场规则进行，具体在设立</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合同（协议）中明确。</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（三）存续期。</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存续期一般不超过七年，出现股权资产转让或变现受限等情况，在各方协商一致的情况下最多可延迟两年。</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第十三条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管理机构应具备以下条件：</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（一）具有国家规定的基金管理资质，管理团队稳定，专业性强，具有良好的职业操守和信誉；</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（二）具备严格规范的投资决策程序、风险控制机制以及健全的财务会计管理制度；</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（三）注册资本不低于</w:t>
            </w:r>
            <w:r w:rsidRPr="007F11E8">
              <w:rPr>
                <w:rFonts w:ascii="Calibri" w:eastAsia="宋体" w:hAnsi="Calibri" w:cs="Calibri"/>
                <w:color w:val="000000"/>
                <w:kern w:val="0"/>
                <w:szCs w:val="21"/>
              </w:rPr>
              <w:t>500</w:t>
            </w:r>
            <w:r w:rsidRPr="007F11E8">
              <w:rPr>
                <w:rFonts w:ascii="Calibri" w:eastAsia="宋体" w:hAnsi="Calibri" w:cs="Calibri"/>
                <w:color w:val="000000"/>
                <w:kern w:val="0"/>
                <w:szCs w:val="21"/>
              </w:rPr>
              <w:t>万元，管理运营过的股权投资基金总规模不低于</w:t>
            </w:r>
            <w:r w:rsidRPr="007F11E8">
              <w:rPr>
                <w:rFonts w:ascii="Calibri" w:eastAsia="宋体" w:hAnsi="Calibri" w:cs="Calibri"/>
                <w:color w:val="000000"/>
                <w:kern w:val="0"/>
                <w:szCs w:val="21"/>
              </w:rPr>
              <w:t>2</w:t>
            </w:r>
            <w:r w:rsidRPr="007F11E8">
              <w:rPr>
                <w:rFonts w:ascii="Calibri" w:eastAsia="宋体" w:hAnsi="Calibri" w:cs="Calibri"/>
                <w:color w:val="000000"/>
                <w:kern w:val="0"/>
                <w:szCs w:val="21"/>
              </w:rPr>
              <w:t>亿元，主要股东或合伙人具有较强的综合实力；</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（四）至少有</w:t>
            </w:r>
            <w:r w:rsidRPr="007F11E8">
              <w:rPr>
                <w:rFonts w:ascii="Calibri" w:eastAsia="宋体" w:hAnsi="Calibri" w:cs="Calibri"/>
                <w:color w:val="000000"/>
                <w:kern w:val="0"/>
                <w:szCs w:val="21"/>
              </w:rPr>
              <w:t>3</w:t>
            </w:r>
            <w:r w:rsidRPr="007F11E8">
              <w:rPr>
                <w:rFonts w:ascii="Calibri" w:eastAsia="宋体" w:hAnsi="Calibri" w:cs="Calibri"/>
                <w:color w:val="000000"/>
                <w:kern w:val="0"/>
                <w:szCs w:val="21"/>
              </w:rPr>
              <w:t>名具备</w:t>
            </w:r>
            <w:r w:rsidRPr="007F11E8">
              <w:rPr>
                <w:rFonts w:ascii="Calibri" w:eastAsia="宋体" w:hAnsi="Calibri" w:cs="Calibri"/>
                <w:color w:val="000000"/>
                <w:kern w:val="0"/>
                <w:szCs w:val="21"/>
              </w:rPr>
              <w:t>3</w:t>
            </w:r>
            <w:r w:rsidRPr="007F11E8">
              <w:rPr>
                <w:rFonts w:ascii="Calibri" w:eastAsia="宋体" w:hAnsi="Calibri" w:cs="Calibri"/>
                <w:color w:val="000000"/>
                <w:kern w:val="0"/>
                <w:szCs w:val="21"/>
              </w:rPr>
              <w:t>年以上股权投资基金管理工作经验的专职高级管理人员，至少主导过</w:t>
            </w:r>
            <w:r w:rsidRPr="007F11E8">
              <w:rPr>
                <w:rFonts w:ascii="Calibri" w:eastAsia="宋体" w:hAnsi="Calibri" w:cs="Calibri"/>
                <w:color w:val="000000"/>
                <w:kern w:val="0"/>
                <w:szCs w:val="21"/>
              </w:rPr>
              <w:t>3</w:t>
            </w:r>
            <w:r w:rsidRPr="007F11E8">
              <w:rPr>
                <w:rFonts w:ascii="Calibri" w:eastAsia="宋体" w:hAnsi="Calibri" w:cs="Calibri"/>
                <w:color w:val="000000"/>
                <w:kern w:val="0"/>
                <w:szCs w:val="21"/>
              </w:rPr>
              <w:t>个以上股权投资的成功案例；</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（五）机构及其工作人员无违法违纪等不良纪录；</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（六）按不低于</w:t>
            </w:r>
            <w:r w:rsidRPr="007F11E8">
              <w:rPr>
                <w:rFonts w:ascii="Calibri" w:eastAsia="宋体" w:hAnsi="Calibri" w:cs="Calibri"/>
                <w:color w:val="000000"/>
                <w:kern w:val="0"/>
                <w:szCs w:val="21"/>
              </w:rPr>
              <w:t>1%</w:t>
            </w:r>
            <w:r w:rsidRPr="007F11E8">
              <w:rPr>
                <w:rFonts w:ascii="Calibri" w:eastAsia="宋体" w:hAnsi="Calibri" w:cs="Calibri"/>
                <w:color w:val="000000"/>
                <w:kern w:val="0"/>
                <w:szCs w:val="21"/>
              </w:rPr>
              <w:t>的比例入股</w:t>
            </w:r>
            <w:proofErr w:type="gramStart"/>
            <w:r w:rsidRPr="007F11E8">
              <w:rPr>
                <w:rFonts w:ascii="Calibri" w:eastAsia="宋体" w:hAnsi="Calibri" w:cs="Calibri"/>
                <w:color w:val="000000"/>
                <w:kern w:val="0"/>
                <w:szCs w:val="21"/>
              </w:rPr>
              <w:t>拟管理</w:t>
            </w:r>
            <w:proofErr w:type="gramEnd"/>
            <w:r w:rsidRPr="007F11E8">
              <w:rPr>
                <w:rFonts w:ascii="Calibri" w:eastAsia="宋体" w:hAnsi="Calibri" w:cs="Calibri"/>
                <w:color w:val="000000"/>
                <w:kern w:val="0"/>
                <w:szCs w:val="21"/>
              </w:rPr>
              <w:t>的投资基金。</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t>第十四条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的投资在收回本金和门槛收益的基础上，可对项目投资或</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管理团队给予奖励。</w:t>
            </w:r>
          </w:p>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t>第四章</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风险控制</w:t>
            </w:r>
          </w:p>
          <w:p w:rsidR="007F11E8" w:rsidRPr="007F11E8" w:rsidRDefault="007F11E8" w:rsidP="007F11E8">
            <w:pPr>
              <w:widowControl/>
              <w:spacing w:line="420" w:lineRule="atLeast"/>
              <w:ind w:firstLine="640"/>
              <w:rPr>
                <w:rFonts w:ascii="Calibri" w:eastAsia="宋体" w:hAnsi="Calibri" w:cs="Calibri"/>
                <w:color w:val="000000"/>
                <w:kern w:val="0"/>
                <w:szCs w:val="21"/>
              </w:rPr>
            </w:pPr>
            <w:r w:rsidRPr="007F11E8">
              <w:rPr>
                <w:rFonts w:ascii="Calibri" w:eastAsia="宋体" w:hAnsi="Calibri" w:cs="Calibri"/>
                <w:color w:val="000000"/>
                <w:kern w:val="0"/>
                <w:szCs w:val="21"/>
              </w:rPr>
              <w:lastRenderedPageBreak/>
              <w:t>第十五条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依据基金章程或合伙协议约定进行股权投资、管理和退出。章程（协议）应约定，有下列情况之一的，</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出资部分可无需其他出资人同意，单方决定退出投资；如无法实现退出，则</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应当进入清算程序：</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（一）未按章程或合伙协议约定投资的；</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（二）与</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管理机构签订合作协议超过</w:t>
            </w:r>
            <w:r w:rsidRPr="007F11E8">
              <w:rPr>
                <w:rFonts w:ascii="Calibri" w:eastAsia="宋体" w:hAnsi="Calibri" w:cs="Calibri"/>
                <w:color w:val="000000"/>
                <w:kern w:val="0"/>
                <w:szCs w:val="21"/>
              </w:rPr>
              <w:t>1</w:t>
            </w:r>
            <w:r w:rsidRPr="007F11E8">
              <w:rPr>
                <w:rFonts w:ascii="Calibri" w:eastAsia="宋体" w:hAnsi="Calibri" w:cs="Calibri"/>
                <w:color w:val="000000"/>
                <w:kern w:val="0"/>
                <w:szCs w:val="21"/>
              </w:rPr>
              <w:t>年，</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管理机构未按约定程序和时间要求完成设立手续的；</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（三）</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设立之日起满</w:t>
            </w:r>
            <w:r w:rsidRPr="007F11E8">
              <w:rPr>
                <w:rFonts w:ascii="Calibri" w:eastAsia="宋体" w:hAnsi="Calibri" w:cs="Calibri"/>
                <w:color w:val="000000"/>
                <w:kern w:val="0"/>
                <w:szCs w:val="21"/>
              </w:rPr>
              <w:t>1</w:t>
            </w:r>
            <w:r w:rsidRPr="007F11E8">
              <w:rPr>
                <w:rFonts w:ascii="Calibri" w:eastAsia="宋体" w:hAnsi="Calibri" w:cs="Calibri"/>
                <w:color w:val="000000"/>
                <w:kern w:val="0"/>
                <w:szCs w:val="21"/>
              </w:rPr>
              <w:t>年未开展投资业务的；</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（四）投资领域不符合约定的；</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（五）其他不符合约定情形的。</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 xml:space="preserve">第十六条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应与其他出资人在章程（协议）中约定，当</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清算出现亏损时，由出资人按现行法律法规及协议约定方式承担，</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以出资额为限承担有限责任。</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 xml:space="preserve">第十七条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管理公司根据年度总体投资计划，按照基金设立进度，和其他出资人按照投资协议，将认缴资金同步划转到投资基金选定的托管银行。</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第十八条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子基金</w:t>
            </w:r>
            <w:proofErr w:type="gramEnd"/>
            <w:r w:rsidRPr="007F11E8">
              <w:rPr>
                <w:rFonts w:ascii="Calibri" w:eastAsia="宋体" w:hAnsi="Calibri" w:cs="Calibri"/>
                <w:color w:val="000000"/>
                <w:kern w:val="0"/>
                <w:szCs w:val="21"/>
              </w:rPr>
              <w:t>的投资应符合国家、省和市产业政策、产业发展规划，不得实施任何形式的对外借款（可转股债权投资或夹层投资除外），不得直接通过二级市场买卖挂牌交易的股票（上市公司非公开发行及以并购重组为目的的除外），不得投资于远期、期货、期权、掉期等金融衍生品，不得从事商业性房地产投资，不得发放贷款、资金拆借、对外担保、赞助和捐赠，以及国家法律法规禁止从事的其他业务。</w:t>
            </w:r>
          </w:p>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t>第五章</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绩效考核与监督管理</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第十九条</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由区财政局牵头，成立</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考核领导小组，重点针对</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运作、管理、效果、资产情况，吸引撬动金融和社会资本投入规模、支持项目数量和成长情况、投资效益等，定期对</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进行绩效考核，考核办法另行制定。考核领导小组成员由区财政局、金融办、</w:t>
            </w:r>
            <w:proofErr w:type="gramStart"/>
            <w:r w:rsidRPr="007F11E8">
              <w:rPr>
                <w:rFonts w:ascii="Calibri" w:eastAsia="宋体" w:hAnsi="Calibri" w:cs="Calibri"/>
                <w:color w:val="000000"/>
                <w:kern w:val="0"/>
                <w:szCs w:val="21"/>
              </w:rPr>
              <w:t>发改经</w:t>
            </w:r>
            <w:proofErr w:type="gramEnd"/>
            <w:r w:rsidRPr="007F11E8">
              <w:rPr>
                <w:rFonts w:ascii="Calibri" w:eastAsia="宋体" w:hAnsi="Calibri" w:cs="Calibri"/>
                <w:color w:val="000000"/>
                <w:kern w:val="0"/>
                <w:szCs w:val="21"/>
              </w:rPr>
              <w:t>信委、科技局、商务局、审计局等部门组成。如考核不达标，报区政府批准</w:t>
            </w:r>
            <w:r w:rsidRPr="007F11E8">
              <w:rPr>
                <w:rFonts w:ascii="Calibri" w:eastAsia="宋体" w:hAnsi="Calibri" w:cs="Calibri"/>
                <w:color w:val="000000"/>
                <w:kern w:val="0"/>
                <w:szCs w:val="21"/>
              </w:rPr>
              <w:t> </w:t>
            </w:r>
            <w:r w:rsidRPr="007F11E8">
              <w:rPr>
                <w:rFonts w:ascii="Calibri" w:eastAsia="宋体" w:hAnsi="Calibri" w:cs="Calibri"/>
                <w:color w:val="000000"/>
                <w:kern w:val="0"/>
                <w:szCs w:val="21"/>
              </w:rPr>
              <w:t>，可更换</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第二十条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管理公司应自行对</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投资规模、资金投向、投资效益及其资产情况定期进行评价。同时，在每年</w:t>
            </w:r>
            <w:r w:rsidRPr="007F11E8">
              <w:rPr>
                <w:rFonts w:ascii="Calibri" w:eastAsia="宋体" w:hAnsi="Calibri" w:cs="Calibri"/>
                <w:color w:val="000000"/>
                <w:kern w:val="0"/>
                <w:szCs w:val="21"/>
              </w:rPr>
              <w:t>8</w:t>
            </w:r>
            <w:r w:rsidRPr="007F11E8">
              <w:rPr>
                <w:rFonts w:ascii="Calibri" w:eastAsia="宋体" w:hAnsi="Calibri" w:cs="Calibri"/>
                <w:color w:val="000000"/>
                <w:kern w:val="0"/>
                <w:szCs w:val="21"/>
              </w:rPr>
              <w:t>月底之前向母基金考核领导小组和董事会报送上半年的投资运作报告，在每年</w:t>
            </w:r>
            <w:r w:rsidRPr="007F11E8">
              <w:rPr>
                <w:rFonts w:ascii="Calibri" w:eastAsia="宋体" w:hAnsi="Calibri" w:cs="Calibri"/>
                <w:color w:val="000000"/>
                <w:kern w:val="0"/>
                <w:szCs w:val="21"/>
              </w:rPr>
              <w:t>4</w:t>
            </w:r>
            <w:r w:rsidRPr="007F11E8">
              <w:rPr>
                <w:rFonts w:ascii="Calibri" w:eastAsia="宋体" w:hAnsi="Calibri" w:cs="Calibri"/>
                <w:color w:val="000000"/>
                <w:kern w:val="0"/>
                <w:szCs w:val="21"/>
              </w:rPr>
              <w:t>月底之前报送上一年度的投资运作报告，主要汇报</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使用情况和存在的问题及建议。</w:t>
            </w:r>
          </w:p>
          <w:p w:rsidR="007F11E8" w:rsidRPr="007F11E8" w:rsidRDefault="007F11E8" w:rsidP="007F11E8">
            <w:pPr>
              <w:widowControl/>
              <w:shd w:val="clear" w:color="auto" w:fill="FFFFFF"/>
              <w:spacing w:line="420" w:lineRule="atLeast"/>
              <w:ind w:firstLine="640"/>
              <w:jc w:val="left"/>
              <w:rPr>
                <w:rFonts w:ascii="Calibri" w:eastAsia="宋体" w:hAnsi="Calibri" w:cs="Calibri"/>
                <w:color w:val="000000"/>
                <w:kern w:val="0"/>
                <w:szCs w:val="21"/>
              </w:rPr>
            </w:pPr>
            <w:r w:rsidRPr="007F11E8">
              <w:rPr>
                <w:rFonts w:ascii="Calibri" w:eastAsia="宋体" w:hAnsi="Calibri" w:cs="Calibri"/>
                <w:color w:val="000000"/>
                <w:kern w:val="0"/>
                <w:szCs w:val="21"/>
              </w:rPr>
              <w:t>第二十一条</w:t>
            </w:r>
            <w:r w:rsidRPr="007F11E8">
              <w:rPr>
                <w:rFonts w:ascii="Calibri" w:eastAsia="宋体" w:hAnsi="Calibri" w:cs="Calibri"/>
                <w:color w:val="000000"/>
                <w:kern w:val="0"/>
                <w:szCs w:val="21"/>
              </w:rPr>
              <w:t>  </w:t>
            </w:r>
            <w:proofErr w:type="gramStart"/>
            <w:r w:rsidRPr="007F11E8">
              <w:rPr>
                <w:rFonts w:ascii="Calibri" w:eastAsia="宋体" w:hAnsi="Calibri" w:cs="Calibri"/>
                <w:color w:val="000000"/>
                <w:kern w:val="0"/>
                <w:szCs w:val="21"/>
              </w:rPr>
              <w:t>母基金</w:t>
            </w:r>
            <w:proofErr w:type="gramEnd"/>
            <w:r w:rsidRPr="007F11E8">
              <w:rPr>
                <w:rFonts w:ascii="Calibri" w:eastAsia="宋体" w:hAnsi="Calibri" w:cs="Calibri"/>
                <w:color w:val="000000"/>
                <w:kern w:val="0"/>
                <w:szCs w:val="21"/>
              </w:rPr>
              <w:t>管理公司应自觉接受财政、审计等部门的监督检查。对在基金管理中出现的违法违纪行为，依照有关规定进行处理。如出现因滥用职权、玩忽职守或因人为故意、重大过失造成基金严重损失，依法追究法律责任；构成犯罪的，移交司法部门依法追究刑事责任。</w:t>
            </w:r>
          </w:p>
          <w:p w:rsidR="007F11E8" w:rsidRPr="007F11E8" w:rsidRDefault="007F11E8" w:rsidP="007F11E8">
            <w:pPr>
              <w:widowControl/>
              <w:shd w:val="clear" w:color="auto" w:fill="FFFFFF"/>
              <w:spacing w:line="420" w:lineRule="atLeast"/>
              <w:jc w:val="center"/>
              <w:rPr>
                <w:rFonts w:ascii="Calibri" w:eastAsia="宋体" w:hAnsi="Calibri" w:cs="Calibri"/>
                <w:color w:val="000000"/>
                <w:kern w:val="0"/>
                <w:szCs w:val="21"/>
              </w:rPr>
            </w:pPr>
            <w:r w:rsidRPr="007F11E8">
              <w:rPr>
                <w:rFonts w:ascii="Calibri" w:eastAsia="宋体" w:hAnsi="Calibri" w:cs="Calibri"/>
                <w:color w:val="000000"/>
                <w:kern w:val="0"/>
                <w:szCs w:val="21"/>
              </w:rPr>
              <w:lastRenderedPageBreak/>
              <w:t>第六章　附　　则</w:t>
            </w:r>
          </w:p>
          <w:p w:rsidR="007F11E8" w:rsidRDefault="007F11E8" w:rsidP="007F11E8">
            <w:pPr>
              <w:widowControl/>
              <w:spacing w:line="420" w:lineRule="atLeast"/>
              <w:rPr>
                <w:rFonts w:ascii="Calibri" w:eastAsia="宋体" w:hAnsi="Calibri" w:cs="Calibri"/>
                <w:color w:val="000000"/>
                <w:kern w:val="0"/>
                <w:szCs w:val="21"/>
              </w:rPr>
            </w:pPr>
            <w:r w:rsidRPr="007F11E8">
              <w:rPr>
                <w:rFonts w:ascii="Calibri" w:eastAsia="宋体" w:hAnsi="Calibri" w:cs="Calibri"/>
                <w:color w:val="000000"/>
                <w:kern w:val="0"/>
                <w:szCs w:val="21"/>
              </w:rPr>
              <w:t>第二十二条　本办法自发布之日起实施。</w:t>
            </w:r>
          </w:p>
          <w:p w:rsidR="00F236F3" w:rsidRDefault="00F236F3" w:rsidP="007F11E8">
            <w:pPr>
              <w:widowControl/>
              <w:spacing w:line="420" w:lineRule="atLeast"/>
              <w:rPr>
                <w:rFonts w:ascii="Calibri" w:eastAsia="宋体" w:hAnsi="Calibri" w:cs="Calibri"/>
                <w:color w:val="000000"/>
                <w:kern w:val="0"/>
                <w:szCs w:val="21"/>
              </w:rPr>
            </w:pPr>
          </w:p>
          <w:p w:rsidR="00F236F3" w:rsidRDefault="00F236F3" w:rsidP="007F11E8">
            <w:pPr>
              <w:widowControl/>
              <w:spacing w:line="420" w:lineRule="atLeast"/>
              <w:rPr>
                <w:rFonts w:ascii="Calibri" w:eastAsia="宋体" w:hAnsi="Calibri" w:cs="Calibri"/>
                <w:color w:val="000000"/>
                <w:kern w:val="0"/>
                <w:szCs w:val="21"/>
              </w:rPr>
            </w:pPr>
          </w:p>
          <w:p w:rsidR="00F236F3" w:rsidRPr="007F11E8" w:rsidRDefault="00F236F3" w:rsidP="007F11E8">
            <w:pPr>
              <w:widowControl/>
              <w:spacing w:line="420" w:lineRule="atLeast"/>
              <w:rPr>
                <w:rFonts w:ascii="Calibri" w:eastAsia="宋体" w:hAnsi="Calibri" w:cs="Calibri" w:hint="eastAsia"/>
                <w:color w:val="000000"/>
                <w:kern w:val="0"/>
                <w:szCs w:val="21"/>
              </w:rPr>
            </w:pPr>
            <w:r>
              <w:rPr>
                <w:rFonts w:ascii="Calibri" w:eastAsia="宋体" w:hAnsi="Calibri" w:cs="Calibri"/>
                <w:color w:val="000000"/>
                <w:kern w:val="0"/>
                <w:szCs w:val="21"/>
              </w:rPr>
              <w:t>部门来源</w:t>
            </w:r>
            <w:r>
              <w:rPr>
                <w:rFonts w:ascii="Calibri" w:eastAsia="宋体" w:hAnsi="Calibri" w:cs="Calibri"/>
                <w:color w:val="000000"/>
                <w:kern w:val="0"/>
                <w:szCs w:val="21"/>
              </w:rPr>
              <w:t>—</w:t>
            </w:r>
            <w:r>
              <w:rPr>
                <w:rFonts w:ascii="Calibri" w:eastAsia="宋体" w:hAnsi="Calibri" w:cs="Calibri"/>
                <w:color w:val="000000"/>
                <w:kern w:val="0"/>
                <w:szCs w:val="21"/>
              </w:rPr>
              <w:t>地方</w:t>
            </w:r>
            <w:r>
              <w:rPr>
                <w:rFonts w:ascii="Calibri" w:eastAsia="宋体" w:hAnsi="Calibri" w:cs="Calibri" w:hint="eastAsia"/>
                <w:color w:val="000000"/>
                <w:kern w:val="0"/>
                <w:szCs w:val="21"/>
              </w:rPr>
              <w:t>-</w:t>
            </w:r>
            <w:r>
              <w:rPr>
                <w:rFonts w:ascii="Calibri" w:eastAsia="宋体" w:hAnsi="Calibri" w:cs="Calibri"/>
                <w:color w:val="000000"/>
                <w:kern w:val="0"/>
                <w:szCs w:val="21"/>
              </w:rPr>
              <w:t>其他系统</w:t>
            </w:r>
            <w:bookmarkStart w:id="0" w:name="_GoBack"/>
            <w:bookmarkEnd w:id="0"/>
          </w:p>
        </w:tc>
      </w:tr>
    </w:tbl>
    <w:p w:rsidR="003966FD" w:rsidRDefault="003966FD"/>
    <w:sectPr w:rsidR="00396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A8"/>
    <w:rsid w:val="003966FD"/>
    <w:rsid w:val="007F11E8"/>
    <w:rsid w:val="00F236F3"/>
    <w:rsid w:val="00FE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09353-DB6C-4BAC-9709-9413A222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19749">
      <w:bodyDiv w:val="1"/>
      <w:marLeft w:val="0"/>
      <w:marRight w:val="0"/>
      <w:marTop w:val="0"/>
      <w:marBottom w:val="0"/>
      <w:divBdr>
        <w:top w:val="none" w:sz="0" w:space="0" w:color="auto"/>
        <w:left w:val="none" w:sz="0" w:space="0" w:color="auto"/>
        <w:bottom w:val="none" w:sz="0" w:space="0" w:color="auto"/>
        <w:right w:val="none" w:sz="0" w:space="0" w:color="auto"/>
      </w:divBdr>
      <w:divsChild>
        <w:div w:id="167727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2272</Characters>
  <Application>Microsoft Office Word</Application>
  <DocSecurity>0</DocSecurity>
  <Lines>18</Lines>
  <Paragraphs>5</Paragraphs>
  <ScaleCrop>false</ScaleCrop>
  <Company>微软中国</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2018-08-20T02:55:00Z</dcterms:created>
  <dcterms:modified xsi:type="dcterms:W3CDTF">2018-08-20T03:15:00Z</dcterms:modified>
</cp:coreProperties>
</file>