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ED3" w:rsidRPr="002F6ED3" w:rsidRDefault="002F6ED3" w:rsidP="002F6ED3">
      <w:pPr>
        <w:widowControl/>
        <w:shd w:val="clear" w:color="auto" w:fill="FFFFFF"/>
        <w:spacing w:line="900" w:lineRule="atLeast"/>
        <w:jc w:val="center"/>
        <w:outlineLvl w:val="0"/>
        <w:rPr>
          <w:rFonts w:ascii="黑体" w:eastAsia="黑体" w:hAnsi="黑体" w:cs="宋体"/>
          <w:b/>
          <w:bCs/>
          <w:color w:val="D74700"/>
          <w:kern w:val="36"/>
          <w:sz w:val="30"/>
          <w:szCs w:val="30"/>
        </w:rPr>
      </w:pPr>
      <w:r w:rsidRPr="002F6ED3">
        <w:rPr>
          <w:rFonts w:ascii="黑体" w:eastAsia="黑体" w:hAnsi="黑体" w:cs="宋体" w:hint="eastAsia"/>
          <w:b/>
          <w:bCs/>
          <w:color w:val="D74700"/>
          <w:kern w:val="36"/>
          <w:sz w:val="30"/>
          <w:szCs w:val="30"/>
        </w:rPr>
        <w:t>【县发改委】忠县人民政府办公室关于大力发展特色工业的若干政策意见</w:t>
      </w:r>
    </w:p>
    <w:p w:rsidR="002F6ED3" w:rsidRPr="002F6ED3" w:rsidRDefault="002F6ED3" w:rsidP="002F6ED3">
      <w:pPr>
        <w:widowControl/>
        <w:shd w:val="clear" w:color="auto" w:fill="FFFFFF"/>
        <w:spacing w:line="580" w:lineRule="atLeast"/>
        <w:jc w:val="center"/>
        <w:rPr>
          <w:rFonts w:ascii="宋体" w:eastAsia="宋体" w:hAnsi="宋体" w:cs="宋体"/>
          <w:color w:val="353535"/>
          <w:kern w:val="0"/>
          <w:sz w:val="24"/>
          <w:szCs w:val="24"/>
        </w:rPr>
      </w:pPr>
      <w:r w:rsidRPr="002F6ED3">
        <w:rPr>
          <w:rFonts w:ascii="宋体" w:eastAsia="宋体" w:hAnsi="宋体" w:cs="宋体" w:hint="eastAsia"/>
          <w:color w:val="353535"/>
          <w:kern w:val="0"/>
          <w:szCs w:val="21"/>
        </w:rPr>
        <w:t>忠县人民政府办公室</w:t>
      </w:r>
    </w:p>
    <w:p w:rsidR="002F6ED3" w:rsidRPr="002F6ED3" w:rsidRDefault="002F6ED3" w:rsidP="00551124">
      <w:pPr>
        <w:widowControl/>
        <w:shd w:val="clear" w:color="auto" w:fill="FFFFFF"/>
        <w:spacing w:line="580" w:lineRule="atLeast"/>
        <w:jc w:val="center"/>
        <w:rPr>
          <w:rFonts w:ascii="宋体" w:eastAsia="宋体" w:hAnsi="宋体" w:cs="宋体" w:hint="eastAsia"/>
          <w:color w:val="353535"/>
          <w:kern w:val="0"/>
          <w:sz w:val="24"/>
          <w:szCs w:val="24"/>
        </w:rPr>
      </w:pPr>
      <w:r w:rsidRPr="002F6ED3">
        <w:rPr>
          <w:rFonts w:ascii="宋体" w:eastAsia="宋体" w:hAnsi="宋体" w:cs="宋体" w:hint="eastAsia"/>
          <w:color w:val="353535"/>
          <w:kern w:val="0"/>
          <w:szCs w:val="21"/>
        </w:rPr>
        <w:t>关于大力发展特色工业的若干政策意见</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color w:val="353535"/>
          <w:kern w:val="0"/>
          <w:szCs w:val="21"/>
        </w:rPr>
        <w:t>为贯彻落实县第十四次党代会精神，深入实施“双特战略”，进一步加大招商引资和企业扶持力度，根据国家法律、法规和上级有关政策规定，结合我县实际，特提出以下政策意见。</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color w:val="353535"/>
          <w:kern w:val="0"/>
          <w:szCs w:val="21"/>
        </w:rPr>
        <w:t>一、支持对象和条件</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第一条</w:t>
      </w:r>
      <w:r w:rsidRPr="002F6ED3">
        <w:rPr>
          <w:rFonts w:ascii="宋体" w:eastAsia="宋体" w:hAnsi="宋体" w:cs="宋体" w:hint="eastAsia"/>
          <w:color w:val="353535"/>
          <w:kern w:val="0"/>
          <w:szCs w:val="21"/>
        </w:rPr>
        <w:t> 本意见所指企业或机构必须是工商、税务和统计关系均在忠县，有健全的财务制度、具有独立法人资格、实行独立核算，承诺10年内注册地址</w:t>
      </w:r>
      <w:proofErr w:type="gramStart"/>
      <w:r w:rsidRPr="002F6ED3">
        <w:rPr>
          <w:rFonts w:ascii="宋体" w:eastAsia="宋体" w:hAnsi="宋体" w:cs="宋体" w:hint="eastAsia"/>
          <w:color w:val="353535"/>
          <w:kern w:val="0"/>
          <w:szCs w:val="21"/>
        </w:rPr>
        <w:t>不</w:t>
      </w:r>
      <w:proofErr w:type="gramEnd"/>
      <w:r w:rsidRPr="002F6ED3">
        <w:rPr>
          <w:rFonts w:ascii="宋体" w:eastAsia="宋体" w:hAnsi="宋体" w:cs="宋体" w:hint="eastAsia"/>
          <w:color w:val="353535"/>
          <w:kern w:val="0"/>
          <w:szCs w:val="21"/>
        </w:rPr>
        <w:t>迁离忠县、不改变在本地的纳税义务、不减少注册资本，且所</w:t>
      </w:r>
      <w:r w:rsidRPr="002F6ED3">
        <w:rPr>
          <w:rFonts w:ascii="宋体" w:eastAsia="宋体" w:hAnsi="宋体" w:cs="宋体" w:hint="eastAsia"/>
          <w:color w:val="000000"/>
          <w:kern w:val="0"/>
          <w:szCs w:val="21"/>
        </w:rPr>
        <w:t>从事产业不属于</w:t>
      </w:r>
      <w:proofErr w:type="gramStart"/>
      <w:r w:rsidRPr="002F6ED3">
        <w:rPr>
          <w:rFonts w:ascii="宋体" w:eastAsia="宋体" w:hAnsi="宋体" w:cs="宋体" w:hint="eastAsia"/>
          <w:color w:val="000000"/>
          <w:kern w:val="0"/>
          <w:szCs w:val="21"/>
        </w:rPr>
        <w:t>国家发改委</w:t>
      </w:r>
      <w:proofErr w:type="gramEnd"/>
      <w:r w:rsidRPr="002F6ED3">
        <w:rPr>
          <w:rFonts w:ascii="宋体" w:eastAsia="宋体" w:hAnsi="宋体" w:cs="宋体" w:hint="eastAsia"/>
          <w:color w:val="000000"/>
          <w:kern w:val="0"/>
          <w:szCs w:val="21"/>
        </w:rPr>
        <w:t>近期颁布的《产业结构调整指导目录》淘汰</w:t>
      </w:r>
      <w:r w:rsidRPr="002F6ED3">
        <w:rPr>
          <w:rFonts w:ascii="宋体" w:eastAsia="宋体" w:hAnsi="宋体" w:cs="宋体" w:hint="eastAsia"/>
          <w:color w:val="353535"/>
          <w:kern w:val="0"/>
          <w:szCs w:val="21"/>
        </w:rPr>
        <w:t>类和限制类产</w:t>
      </w:r>
      <w:r w:rsidRPr="002F6ED3">
        <w:rPr>
          <w:rFonts w:ascii="宋体" w:eastAsia="宋体" w:hAnsi="宋体" w:cs="宋体" w:hint="eastAsia"/>
          <w:color w:val="000000"/>
          <w:kern w:val="0"/>
          <w:szCs w:val="21"/>
        </w:rPr>
        <w:t>业的工业企业或机构。</w:t>
      </w:r>
      <w:r w:rsidRPr="002F6ED3">
        <w:rPr>
          <w:rFonts w:ascii="宋体" w:eastAsia="宋体" w:hAnsi="宋体" w:cs="宋体" w:hint="eastAsia"/>
          <w:color w:val="353535"/>
          <w:kern w:val="0"/>
          <w:szCs w:val="21"/>
        </w:rPr>
        <w:t>若被扶持企业或机构违反承诺，将收回所有优惠政策和已经发放的扶持资金。</w:t>
      </w:r>
    </w:p>
    <w:p w:rsidR="002F6ED3" w:rsidRPr="002F6ED3" w:rsidRDefault="002F6ED3" w:rsidP="002F6ED3">
      <w:pPr>
        <w:widowControl/>
        <w:shd w:val="clear" w:color="auto" w:fill="FFFFFF"/>
        <w:spacing w:line="580" w:lineRule="atLeast"/>
        <w:jc w:val="left"/>
        <w:rPr>
          <w:rFonts w:ascii="宋体" w:eastAsia="宋体" w:hAnsi="宋体" w:cs="宋体"/>
          <w:color w:val="353535"/>
          <w:kern w:val="0"/>
          <w:sz w:val="24"/>
          <w:szCs w:val="24"/>
        </w:rPr>
      </w:pPr>
      <w:r w:rsidRPr="002F6ED3">
        <w:rPr>
          <w:rFonts w:ascii="宋体" w:eastAsia="宋体" w:hAnsi="宋体" w:cs="宋体" w:hint="eastAsia"/>
          <w:color w:val="000000"/>
          <w:kern w:val="0"/>
          <w:szCs w:val="21"/>
          <w:shd w:val="clear" w:color="auto" w:fill="FFFFFF"/>
        </w:rPr>
        <w:t>二、资金来源</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第二条 </w:t>
      </w:r>
      <w:r w:rsidRPr="002F6ED3">
        <w:rPr>
          <w:rFonts w:ascii="宋体" w:eastAsia="宋体" w:hAnsi="宋体" w:cs="宋体" w:hint="eastAsia"/>
          <w:color w:val="000000"/>
          <w:kern w:val="0"/>
          <w:szCs w:val="21"/>
        </w:rPr>
        <w:t> 整合县内产业资金，建立不少于10亿元的产业发展资金保障特色产业发展，重点支持项目招引、土地供应、企业扶持、科技创新、质量品牌等方面。</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color w:val="000000"/>
          <w:kern w:val="0"/>
          <w:szCs w:val="21"/>
          <w:shd w:val="clear" w:color="auto" w:fill="FFFFFF"/>
        </w:rPr>
        <w:t>三、扶持政策</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color w:val="000000"/>
          <w:kern w:val="0"/>
          <w:szCs w:val="21"/>
          <w:shd w:val="clear" w:color="auto" w:fill="FFFFFF"/>
        </w:rPr>
        <w:t>（一）适用范围</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第三条</w:t>
      </w:r>
      <w:r w:rsidRPr="002F6ED3">
        <w:rPr>
          <w:rFonts w:ascii="宋体" w:eastAsia="宋体" w:hAnsi="宋体" w:cs="宋体" w:hint="eastAsia"/>
          <w:color w:val="000000"/>
          <w:kern w:val="0"/>
          <w:szCs w:val="21"/>
        </w:rPr>
        <w:t> 对招商引资新入驻项目，按照对应条件可享受以下第四条至第十一条扶持政策；</w:t>
      </w:r>
      <w:r w:rsidRPr="002F6ED3">
        <w:rPr>
          <w:rFonts w:ascii="宋体" w:eastAsia="宋体" w:hAnsi="宋体" w:cs="宋体" w:hint="eastAsia"/>
          <w:color w:val="353535"/>
          <w:kern w:val="0"/>
          <w:szCs w:val="21"/>
        </w:rPr>
        <w:t>对建成投产企业和存量企业，按照对应条件可享受以下第十二条至第十九条扶持政策。</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color w:val="000000"/>
          <w:kern w:val="0"/>
          <w:szCs w:val="21"/>
          <w:shd w:val="clear" w:color="auto" w:fill="FFFFFF"/>
        </w:rPr>
        <w:t>（二）项目招引</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lastRenderedPageBreak/>
        <w:t>第四条</w:t>
      </w:r>
      <w:r w:rsidRPr="002F6ED3">
        <w:rPr>
          <w:rFonts w:ascii="宋体" w:eastAsia="宋体" w:hAnsi="宋体" w:cs="宋体" w:hint="eastAsia"/>
          <w:color w:val="000000"/>
          <w:kern w:val="0"/>
          <w:szCs w:val="21"/>
        </w:rPr>
        <w:t> 项目落户奖。对新设立企业当年实缴注册资本金达到3000万元以上、5000万元以上、1亿元以上，且项目建成投产并经相关部门认定后，分别给予100万元、200万元、300万元奖励。</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第五条 </w:t>
      </w:r>
      <w:r w:rsidRPr="002F6ED3">
        <w:rPr>
          <w:rFonts w:ascii="宋体" w:eastAsia="宋体" w:hAnsi="宋体" w:cs="宋体" w:hint="eastAsia"/>
          <w:color w:val="000000"/>
          <w:kern w:val="0"/>
          <w:szCs w:val="21"/>
        </w:rPr>
        <w:t> 税收贡献奖。对年纳税额达到100万元以上新投产企业，自生产经营之年起，第1-3年、第4-5年分别以企业所得税县级留成部分的100%、80%为计算标准给予奖励；第1-5年以增值税县级留成部分的60%为计算标准给予奖励。</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第六条 </w:t>
      </w:r>
      <w:r w:rsidRPr="002F6ED3">
        <w:rPr>
          <w:rFonts w:ascii="宋体" w:eastAsia="宋体" w:hAnsi="宋体" w:cs="宋体" w:hint="eastAsia"/>
          <w:color w:val="000000"/>
          <w:kern w:val="0"/>
          <w:szCs w:val="21"/>
        </w:rPr>
        <w:t> 高</w:t>
      </w:r>
      <w:proofErr w:type="gramStart"/>
      <w:r w:rsidRPr="002F6ED3">
        <w:rPr>
          <w:rFonts w:ascii="宋体" w:eastAsia="宋体" w:hAnsi="宋体" w:cs="宋体" w:hint="eastAsia"/>
          <w:color w:val="000000"/>
          <w:kern w:val="0"/>
          <w:szCs w:val="21"/>
        </w:rPr>
        <w:t>管人才</w:t>
      </w:r>
      <w:proofErr w:type="gramEnd"/>
      <w:r w:rsidRPr="002F6ED3">
        <w:rPr>
          <w:rFonts w:ascii="宋体" w:eastAsia="宋体" w:hAnsi="宋体" w:cs="宋体" w:hint="eastAsia"/>
          <w:color w:val="000000"/>
          <w:kern w:val="0"/>
          <w:szCs w:val="21"/>
        </w:rPr>
        <w:t>奖。符合第四条规定的，对企业高级管理人员（包括董事长、副董事长、总经理、副总经理、监事长、总经济师、总会计师或相当层级职务的人员，每户企业不超过10名），第1-5年以个人所得税县级留成部分的80%为计算标准给予奖励。</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第七条</w:t>
      </w:r>
      <w:r w:rsidRPr="002F6ED3">
        <w:rPr>
          <w:rFonts w:ascii="宋体" w:eastAsia="宋体" w:hAnsi="宋体" w:cs="宋体" w:hint="eastAsia"/>
          <w:color w:val="000000"/>
          <w:kern w:val="0"/>
          <w:szCs w:val="21"/>
        </w:rPr>
        <w:t> 城市建设配套费。企业生产性用房及配套用房（仓储、检验检测、自用车库等）经确认后免缴城市建设配套费。厂区内办公楼、职工宿舍、职工倒班房所涉及的城市建设配套费按项目所在地核定标准减半征收。</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第八条</w:t>
      </w:r>
      <w:r w:rsidRPr="002F6ED3">
        <w:rPr>
          <w:rFonts w:ascii="宋体" w:eastAsia="宋体" w:hAnsi="宋体" w:cs="宋体" w:hint="eastAsia"/>
          <w:color w:val="000000"/>
          <w:kern w:val="0"/>
          <w:szCs w:val="21"/>
        </w:rPr>
        <w:t> 贷款贴息。固定资产投资5000万元以上的工业项目，对其固定资产投资50%以内的贷款给予贴息，贴息比例不超过</w:t>
      </w:r>
      <w:r w:rsidRPr="002F6ED3">
        <w:rPr>
          <w:rFonts w:ascii="宋体" w:eastAsia="宋体" w:hAnsi="宋体" w:cs="宋体" w:hint="eastAsia"/>
          <w:color w:val="353535"/>
          <w:kern w:val="0"/>
          <w:szCs w:val="21"/>
        </w:rPr>
        <w:t>银行同期基准利率的60%，贴息年限不超过3年。</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第九条</w:t>
      </w:r>
      <w:r w:rsidRPr="002F6ED3">
        <w:rPr>
          <w:rFonts w:ascii="宋体" w:eastAsia="宋体" w:hAnsi="宋体" w:cs="宋体" w:hint="eastAsia"/>
          <w:color w:val="000000"/>
          <w:kern w:val="0"/>
          <w:szCs w:val="21"/>
        </w:rPr>
        <w:t> 设备补助。鼓励企业采购先进生产设备，并给予设备购置补助。对固定资产投资1亿元以上、5亿元以上、10亿元以上的工业项目，分别按设备购置投入的10%、15%、20%给予补助。</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第十条</w:t>
      </w:r>
      <w:r w:rsidRPr="002F6ED3">
        <w:rPr>
          <w:rFonts w:ascii="宋体" w:eastAsia="宋体" w:hAnsi="宋体" w:cs="宋体" w:hint="eastAsia"/>
          <w:color w:val="000000"/>
          <w:kern w:val="0"/>
          <w:szCs w:val="21"/>
        </w:rPr>
        <w:t> 物流补助。对固定资产投资1亿元以上工业项目自投产之日起，按销售额的1%给予补助，补助年限3年。</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color w:val="000000"/>
          <w:kern w:val="0"/>
          <w:szCs w:val="21"/>
        </w:rPr>
        <w:t>（三）土地供应</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第十一条</w:t>
      </w:r>
      <w:r w:rsidRPr="002F6ED3">
        <w:rPr>
          <w:rFonts w:ascii="宋体" w:eastAsia="宋体" w:hAnsi="宋体" w:cs="宋体" w:hint="eastAsia"/>
          <w:color w:val="000000"/>
          <w:kern w:val="0"/>
          <w:szCs w:val="21"/>
        </w:rPr>
        <w:t> 用地补助。招商引资项目协议约定的土地出让价款</w:t>
      </w:r>
      <w:r w:rsidRPr="002F6ED3">
        <w:rPr>
          <w:rFonts w:ascii="宋体" w:eastAsia="宋体" w:hAnsi="宋体" w:cs="宋体" w:hint="eastAsia"/>
          <w:color w:val="353535"/>
          <w:kern w:val="0"/>
          <w:szCs w:val="21"/>
        </w:rPr>
        <w:t>不得低于国家规定的工业用地最低标准。</w:t>
      </w:r>
      <w:r w:rsidRPr="002F6ED3">
        <w:rPr>
          <w:rFonts w:ascii="宋体" w:eastAsia="宋体" w:hAnsi="宋体" w:cs="宋体" w:hint="eastAsia"/>
          <w:color w:val="000000"/>
          <w:kern w:val="0"/>
          <w:szCs w:val="21"/>
        </w:rPr>
        <w:t>固定资产投资1亿元以上的工业项目，缴纳的土地出让价款超过5.7万元/亩部分，补助企业用于项目建设。</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color w:val="353535"/>
          <w:kern w:val="0"/>
          <w:szCs w:val="21"/>
        </w:rPr>
        <w:lastRenderedPageBreak/>
        <w:t>（四）</w:t>
      </w:r>
      <w:r w:rsidRPr="002F6ED3">
        <w:rPr>
          <w:rFonts w:ascii="宋体" w:eastAsia="宋体" w:hAnsi="宋体" w:cs="宋体" w:hint="eastAsia"/>
          <w:color w:val="000000"/>
          <w:kern w:val="0"/>
          <w:szCs w:val="21"/>
          <w:shd w:val="clear" w:color="auto" w:fill="FFFFFF"/>
        </w:rPr>
        <w:t>企业扶持</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第十二条</w:t>
      </w:r>
      <w:r w:rsidRPr="002F6ED3">
        <w:rPr>
          <w:rFonts w:ascii="宋体" w:eastAsia="宋体" w:hAnsi="宋体" w:cs="宋体" w:hint="eastAsia"/>
          <w:color w:val="000000"/>
          <w:kern w:val="0"/>
          <w:szCs w:val="21"/>
        </w:rPr>
        <w:t> 工业升</w:t>
      </w:r>
      <w:proofErr w:type="gramStart"/>
      <w:r w:rsidRPr="002F6ED3">
        <w:rPr>
          <w:rFonts w:ascii="宋体" w:eastAsia="宋体" w:hAnsi="宋体" w:cs="宋体" w:hint="eastAsia"/>
          <w:color w:val="000000"/>
          <w:kern w:val="0"/>
          <w:szCs w:val="21"/>
        </w:rPr>
        <w:t>规</w:t>
      </w:r>
      <w:proofErr w:type="gramEnd"/>
      <w:r w:rsidRPr="002F6ED3">
        <w:rPr>
          <w:rFonts w:ascii="宋体" w:eastAsia="宋体" w:hAnsi="宋体" w:cs="宋体" w:hint="eastAsia"/>
          <w:color w:val="000000"/>
          <w:kern w:val="0"/>
          <w:szCs w:val="21"/>
        </w:rPr>
        <w:t>奖。</w:t>
      </w:r>
      <w:r w:rsidRPr="002F6ED3">
        <w:rPr>
          <w:rFonts w:ascii="宋体" w:eastAsia="宋体" w:hAnsi="宋体" w:cs="宋体" w:hint="eastAsia"/>
          <w:color w:val="353535"/>
          <w:kern w:val="0"/>
          <w:szCs w:val="21"/>
        </w:rPr>
        <w:t>新升</w:t>
      </w:r>
      <w:proofErr w:type="gramStart"/>
      <w:r w:rsidRPr="002F6ED3">
        <w:rPr>
          <w:rFonts w:ascii="宋体" w:eastAsia="宋体" w:hAnsi="宋体" w:cs="宋体" w:hint="eastAsia"/>
          <w:color w:val="353535"/>
          <w:kern w:val="0"/>
          <w:szCs w:val="21"/>
        </w:rPr>
        <w:t>规</w:t>
      </w:r>
      <w:proofErr w:type="gramEnd"/>
      <w:r w:rsidRPr="002F6ED3">
        <w:rPr>
          <w:rFonts w:ascii="宋体" w:eastAsia="宋体" w:hAnsi="宋体" w:cs="宋体" w:hint="eastAsia"/>
          <w:color w:val="353535"/>
          <w:kern w:val="0"/>
          <w:szCs w:val="21"/>
        </w:rPr>
        <w:t>入库企业当年完成产值5000万元以下、5000万元以上、1亿元以上的，分别给予一次性10万元、15万元、20万元奖励。</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第十三条 </w:t>
      </w:r>
      <w:r w:rsidRPr="002F6ED3">
        <w:rPr>
          <w:rFonts w:ascii="宋体" w:eastAsia="宋体" w:hAnsi="宋体" w:cs="宋体" w:hint="eastAsia"/>
          <w:color w:val="000000"/>
          <w:kern w:val="0"/>
          <w:szCs w:val="21"/>
        </w:rPr>
        <w:t> 稳产增效流动资金支出补贴。</w:t>
      </w:r>
      <w:r w:rsidRPr="002F6ED3">
        <w:rPr>
          <w:rFonts w:ascii="宋体" w:eastAsia="宋体" w:hAnsi="宋体" w:cs="宋体" w:hint="eastAsia"/>
          <w:color w:val="353535"/>
          <w:kern w:val="0"/>
          <w:szCs w:val="21"/>
        </w:rPr>
        <w:t>上一年度产值在5000万元以上的</w:t>
      </w:r>
      <w:proofErr w:type="gramStart"/>
      <w:r w:rsidRPr="002F6ED3">
        <w:rPr>
          <w:rFonts w:ascii="宋体" w:eastAsia="宋体" w:hAnsi="宋体" w:cs="宋体" w:hint="eastAsia"/>
          <w:color w:val="353535"/>
          <w:kern w:val="0"/>
          <w:szCs w:val="21"/>
        </w:rPr>
        <w:t>规</w:t>
      </w:r>
      <w:proofErr w:type="gramEnd"/>
      <w:r w:rsidRPr="002F6ED3">
        <w:rPr>
          <w:rFonts w:ascii="宋体" w:eastAsia="宋体" w:hAnsi="宋体" w:cs="宋体" w:hint="eastAsia"/>
          <w:color w:val="353535"/>
          <w:kern w:val="0"/>
          <w:szCs w:val="21"/>
        </w:rPr>
        <w:t>上工业企业，当年完成产值同比达到一定增幅后，按净增部分的0.2%给予补贴，单户企业补贴额度不超过50万元。产值2亿元以下、2亿元以上、5亿元以上的，增幅必须分别达到20%、15%、10%。</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第十四条</w:t>
      </w:r>
      <w:r w:rsidRPr="002F6ED3">
        <w:rPr>
          <w:rFonts w:ascii="宋体" w:eastAsia="宋体" w:hAnsi="宋体" w:cs="宋体" w:hint="eastAsia"/>
          <w:color w:val="000000"/>
          <w:kern w:val="0"/>
          <w:szCs w:val="21"/>
        </w:rPr>
        <w:t> 应急转贷。</w:t>
      </w:r>
      <w:r w:rsidRPr="002F6ED3">
        <w:rPr>
          <w:rFonts w:ascii="宋体" w:eastAsia="宋体" w:hAnsi="宋体" w:cs="宋体" w:hint="eastAsia"/>
          <w:color w:val="353535"/>
          <w:kern w:val="0"/>
          <w:szCs w:val="21"/>
        </w:rPr>
        <w:t>安排不少于500万元资金参与市级中小</w:t>
      </w:r>
      <w:proofErr w:type="gramStart"/>
      <w:r w:rsidRPr="002F6ED3">
        <w:rPr>
          <w:rFonts w:ascii="宋体" w:eastAsia="宋体" w:hAnsi="宋体" w:cs="宋体" w:hint="eastAsia"/>
          <w:color w:val="353535"/>
          <w:kern w:val="0"/>
          <w:szCs w:val="21"/>
        </w:rPr>
        <w:t>微企业</w:t>
      </w:r>
      <w:proofErr w:type="gramEnd"/>
      <w:r w:rsidRPr="002F6ED3">
        <w:rPr>
          <w:rFonts w:ascii="宋体" w:eastAsia="宋体" w:hAnsi="宋体" w:cs="宋体" w:hint="eastAsia"/>
          <w:color w:val="353535"/>
          <w:kern w:val="0"/>
          <w:szCs w:val="21"/>
        </w:rPr>
        <w:t>转贷应急资金平台，用于</w:t>
      </w:r>
      <w:proofErr w:type="gramStart"/>
      <w:r w:rsidRPr="002F6ED3">
        <w:rPr>
          <w:rFonts w:ascii="宋体" w:eastAsia="宋体" w:hAnsi="宋体" w:cs="宋体" w:hint="eastAsia"/>
          <w:color w:val="353535"/>
          <w:kern w:val="0"/>
          <w:szCs w:val="21"/>
        </w:rPr>
        <w:t>企业冲贷借取</w:t>
      </w:r>
      <w:proofErr w:type="gramEnd"/>
      <w:r w:rsidRPr="002F6ED3">
        <w:rPr>
          <w:rFonts w:ascii="宋体" w:eastAsia="宋体" w:hAnsi="宋体" w:cs="宋体" w:hint="eastAsia"/>
          <w:color w:val="353535"/>
          <w:kern w:val="0"/>
          <w:szCs w:val="21"/>
        </w:rPr>
        <w:t>。</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第十五条</w:t>
      </w:r>
      <w:r w:rsidRPr="002F6ED3">
        <w:rPr>
          <w:rFonts w:ascii="宋体" w:eastAsia="宋体" w:hAnsi="宋体" w:cs="宋体" w:hint="eastAsia"/>
          <w:color w:val="000000"/>
          <w:kern w:val="0"/>
          <w:szCs w:val="21"/>
        </w:rPr>
        <w:t> 用电优惠。</w:t>
      </w:r>
      <w:proofErr w:type="gramStart"/>
      <w:r w:rsidRPr="002F6ED3">
        <w:rPr>
          <w:rFonts w:ascii="宋体" w:eastAsia="宋体" w:hAnsi="宋体" w:cs="宋体" w:hint="eastAsia"/>
          <w:color w:val="353535"/>
          <w:kern w:val="0"/>
          <w:szCs w:val="21"/>
        </w:rPr>
        <w:t>规</w:t>
      </w:r>
      <w:proofErr w:type="gramEnd"/>
      <w:r w:rsidRPr="002F6ED3">
        <w:rPr>
          <w:rFonts w:ascii="宋体" w:eastAsia="宋体" w:hAnsi="宋体" w:cs="宋体" w:hint="eastAsia"/>
          <w:color w:val="353535"/>
          <w:kern w:val="0"/>
          <w:szCs w:val="21"/>
        </w:rPr>
        <w:t>上工业企业生产用电按0.01元/</w:t>
      </w:r>
      <w:proofErr w:type="gramStart"/>
      <w:r w:rsidRPr="002F6ED3">
        <w:rPr>
          <w:rFonts w:ascii="宋体" w:eastAsia="宋体" w:hAnsi="宋体" w:cs="宋体" w:hint="eastAsia"/>
          <w:color w:val="353535"/>
          <w:kern w:val="0"/>
          <w:szCs w:val="21"/>
        </w:rPr>
        <w:t>度给予</w:t>
      </w:r>
      <w:proofErr w:type="gramEnd"/>
      <w:r w:rsidRPr="002F6ED3">
        <w:rPr>
          <w:rFonts w:ascii="宋体" w:eastAsia="宋体" w:hAnsi="宋体" w:cs="宋体" w:hint="eastAsia"/>
          <w:color w:val="353535"/>
          <w:kern w:val="0"/>
          <w:szCs w:val="21"/>
        </w:rPr>
        <w:t>补贴，单户企业补贴额度不超过100万元。2017年12月31日前，年用电量在500万度以上的工业企业，可与发电企业直接交易；允许年用电量在300-500万度的工业企业“打捆”参与直接交易；除已享受城市公用事业附加费优惠政策的企业外，对其他符合产业政策的受电变压器容量在315千伏安及以上的工业企业用电减免城市公用事业附加费0.015元/度。</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第十六条</w:t>
      </w:r>
      <w:r w:rsidRPr="002F6ED3">
        <w:rPr>
          <w:rFonts w:ascii="宋体" w:eastAsia="宋体" w:hAnsi="宋体" w:cs="宋体" w:hint="eastAsia"/>
          <w:color w:val="000000"/>
          <w:kern w:val="0"/>
          <w:szCs w:val="21"/>
        </w:rPr>
        <w:t> 厂车购置补贴。</w:t>
      </w:r>
      <w:proofErr w:type="gramStart"/>
      <w:r w:rsidRPr="002F6ED3">
        <w:rPr>
          <w:rFonts w:ascii="宋体" w:eastAsia="宋体" w:hAnsi="宋体" w:cs="宋体" w:hint="eastAsia"/>
          <w:color w:val="353535"/>
          <w:kern w:val="0"/>
          <w:szCs w:val="21"/>
        </w:rPr>
        <w:t>乌杨新区规</w:t>
      </w:r>
      <w:proofErr w:type="gramEnd"/>
      <w:r w:rsidRPr="002F6ED3">
        <w:rPr>
          <w:rFonts w:ascii="宋体" w:eastAsia="宋体" w:hAnsi="宋体" w:cs="宋体" w:hint="eastAsia"/>
          <w:color w:val="353535"/>
          <w:kern w:val="0"/>
          <w:szCs w:val="21"/>
        </w:rPr>
        <w:t>上工业企业购买用于运送员工的中巴车或大巴车，给予30%的购车补贴，单台车辆补贴额度不超过15万元。</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第十七条</w:t>
      </w:r>
      <w:r w:rsidRPr="002F6ED3">
        <w:rPr>
          <w:rFonts w:ascii="宋体" w:eastAsia="宋体" w:hAnsi="宋体" w:cs="宋体" w:hint="eastAsia"/>
          <w:color w:val="000000"/>
          <w:kern w:val="0"/>
          <w:szCs w:val="21"/>
        </w:rPr>
        <w:t> </w:t>
      </w:r>
      <w:proofErr w:type="gramStart"/>
      <w:r w:rsidRPr="002F6ED3">
        <w:rPr>
          <w:rFonts w:ascii="宋体" w:eastAsia="宋体" w:hAnsi="宋体" w:cs="宋体" w:hint="eastAsia"/>
          <w:color w:val="353535"/>
          <w:kern w:val="0"/>
          <w:szCs w:val="21"/>
        </w:rPr>
        <w:t>规</w:t>
      </w:r>
      <w:proofErr w:type="gramEnd"/>
      <w:r w:rsidRPr="002F6ED3">
        <w:rPr>
          <w:rFonts w:ascii="宋体" w:eastAsia="宋体" w:hAnsi="宋体" w:cs="宋体" w:hint="eastAsia"/>
          <w:color w:val="353535"/>
          <w:kern w:val="0"/>
          <w:szCs w:val="21"/>
        </w:rPr>
        <w:t>上工业企业实施固定资产投资2000万元-1亿元的技术改造项目，享受设备购置投入10%的补助。</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color w:val="000000"/>
          <w:kern w:val="0"/>
          <w:szCs w:val="21"/>
          <w:shd w:val="clear" w:color="auto" w:fill="FFFFFF"/>
        </w:rPr>
        <w:t>（五）科技创新</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第十八条</w:t>
      </w:r>
      <w:r w:rsidRPr="002F6ED3">
        <w:rPr>
          <w:rFonts w:ascii="宋体" w:eastAsia="宋体" w:hAnsi="宋体" w:cs="宋体" w:hint="eastAsia"/>
          <w:color w:val="353535"/>
          <w:kern w:val="0"/>
          <w:szCs w:val="21"/>
        </w:rPr>
        <w:t> </w:t>
      </w:r>
      <w:proofErr w:type="gramStart"/>
      <w:r w:rsidRPr="002F6ED3">
        <w:rPr>
          <w:rFonts w:ascii="宋体" w:eastAsia="宋体" w:hAnsi="宋体" w:cs="宋体" w:hint="eastAsia"/>
          <w:color w:val="353535"/>
          <w:kern w:val="0"/>
          <w:szCs w:val="21"/>
        </w:rPr>
        <w:t>规</w:t>
      </w:r>
      <w:proofErr w:type="gramEnd"/>
      <w:r w:rsidRPr="002F6ED3">
        <w:rPr>
          <w:rFonts w:ascii="宋体" w:eastAsia="宋体" w:hAnsi="宋体" w:cs="宋体" w:hint="eastAsia"/>
          <w:color w:val="353535"/>
          <w:kern w:val="0"/>
          <w:szCs w:val="21"/>
        </w:rPr>
        <w:t>上工业企业</w:t>
      </w:r>
      <w:r w:rsidRPr="002F6ED3">
        <w:rPr>
          <w:rFonts w:ascii="宋体" w:eastAsia="宋体" w:hAnsi="宋体" w:cs="宋体" w:hint="eastAsia"/>
          <w:color w:val="000000"/>
          <w:kern w:val="0"/>
          <w:szCs w:val="21"/>
        </w:rPr>
        <w:t>研发经费按15%给予补助。</w:t>
      </w:r>
      <w:r w:rsidRPr="002F6ED3">
        <w:rPr>
          <w:rFonts w:ascii="宋体" w:eastAsia="宋体" w:hAnsi="宋体" w:cs="宋体" w:hint="eastAsia"/>
          <w:color w:val="333333"/>
          <w:kern w:val="0"/>
          <w:szCs w:val="21"/>
        </w:rPr>
        <w:t>经评定的重庆市重大新产品，评定次年</w:t>
      </w:r>
      <w:proofErr w:type="gramStart"/>
      <w:r w:rsidRPr="002F6ED3">
        <w:rPr>
          <w:rFonts w:ascii="宋体" w:eastAsia="宋体" w:hAnsi="宋体" w:cs="宋体" w:hint="eastAsia"/>
          <w:color w:val="333333"/>
          <w:kern w:val="0"/>
          <w:szCs w:val="21"/>
        </w:rPr>
        <w:t>按重大</w:t>
      </w:r>
      <w:proofErr w:type="gramEnd"/>
      <w:r w:rsidRPr="002F6ED3">
        <w:rPr>
          <w:rFonts w:ascii="宋体" w:eastAsia="宋体" w:hAnsi="宋体" w:cs="宋体" w:hint="eastAsia"/>
          <w:color w:val="333333"/>
          <w:kern w:val="0"/>
          <w:szCs w:val="21"/>
        </w:rPr>
        <w:t>新产品评定当年上缴增值税县级留成部分50%给予财政补助，第二年</w:t>
      </w:r>
      <w:proofErr w:type="gramStart"/>
      <w:r w:rsidRPr="002F6ED3">
        <w:rPr>
          <w:rFonts w:ascii="宋体" w:eastAsia="宋体" w:hAnsi="宋体" w:cs="宋体" w:hint="eastAsia"/>
          <w:color w:val="333333"/>
          <w:kern w:val="0"/>
          <w:szCs w:val="21"/>
        </w:rPr>
        <w:t>按重大</w:t>
      </w:r>
      <w:proofErr w:type="gramEnd"/>
      <w:r w:rsidRPr="002F6ED3">
        <w:rPr>
          <w:rFonts w:ascii="宋体" w:eastAsia="宋体" w:hAnsi="宋体" w:cs="宋体" w:hint="eastAsia"/>
          <w:color w:val="333333"/>
          <w:kern w:val="0"/>
          <w:szCs w:val="21"/>
        </w:rPr>
        <w:t>新产品年上缴新增增值税县级留成部分50%给予财政补助；对具有发明专利的重大新产品，第三年再</w:t>
      </w:r>
      <w:proofErr w:type="gramStart"/>
      <w:r w:rsidRPr="002F6ED3">
        <w:rPr>
          <w:rFonts w:ascii="宋体" w:eastAsia="宋体" w:hAnsi="宋体" w:cs="宋体" w:hint="eastAsia"/>
          <w:color w:val="333333"/>
          <w:kern w:val="0"/>
          <w:szCs w:val="21"/>
        </w:rPr>
        <w:t>按重大</w:t>
      </w:r>
      <w:proofErr w:type="gramEnd"/>
      <w:r w:rsidRPr="002F6ED3">
        <w:rPr>
          <w:rFonts w:ascii="宋体" w:eastAsia="宋体" w:hAnsi="宋体" w:cs="宋体" w:hint="eastAsia"/>
          <w:color w:val="333333"/>
          <w:kern w:val="0"/>
          <w:szCs w:val="21"/>
        </w:rPr>
        <w:t>新产品年上缴新增增值税县级留成部分50%给予财政补助；企业开发多个重大新产品获财政补贴资金的，每项重大新产品财政补贴资金不超过2000万元，每年</w:t>
      </w:r>
      <w:r w:rsidRPr="002F6ED3">
        <w:rPr>
          <w:rFonts w:ascii="宋体" w:eastAsia="宋体" w:hAnsi="宋体" w:cs="宋体" w:hint="eastAsia"/>
          <w:color w:val="333333"/>
          <w:kern w:val="0"/>
          <w:szCs w:val="21"/>
        </w:rPr>
        <w:lastRenderedPageBreak/>
        <w:t>度单户企业重大新产品财政补贴资金总额不超过5000万元。</w:t>
      </w:r>
      <w:r w:rsidRPr="002F6ED3">
        <w:rPr>
          <w:rFonts w:ascii="宋体" w:eastAsia="宋体" w:hAnsi="宋体" w:cs="宋体" w:hint="eastAsia"/>
          <w:color w:val="000000"/>
          <w:kern w:val="0"/>
          <w:szCs w:val="21"/>
        </w:rPr>
        <w:t>其余科技创新政策按</w:t>
      </w:r>
      <w:r w:rsidRPr="002F6ED3">
        <w:rPr>
          <w:rFonts w:ascii="宋体" w:eastAsia="宋体" w:hAnsi="宋体" w:cs="宋体" w:hint="eastAsia"/>
          <w:color w:val="353535"/>
          <w:kern w:val="0"/>
          <w:szCs w:val="21"/>
        </w:rPr>
        <w:t>《忠县人民政府关于鼓励支持创新主体培育实施意见的通知》（</w:t>
      </w:r>
      <w:proofErr w:type="gramStart"/>
      <w:r w:rsidRPr="002F6ED3">
        <w:rPr>
          <w:rFonts w:ascii="宋体" w:eastAsia="宋体" w:hAnsi="宋体" w:cs="宋体" w:hint="eastAsia"/>
          <w:color w:val="353535"/>
          <w:kern w:val="0"/>
          <w:szCs w:val="21"/>
        </w:rPr>
        <w:t>忠府发</w:t>
      </w:r>
      <w:proofErr w:type="gramEnd"/>
      <w:r w:rsidRPr="002F6ED3">
        <w:rPr>
          <w:rFonts w:ascii="宋体" w:eastAsia="宋体" w:hAnsi="宋体" w:cs="宋体" w:hint="eastAsia"/>
          <w:color w:val="353535"/>
          <w:kern w:val="0"/>
          <w:szCs w:val="21"/>
        </w:rPr>
        <w:t>〔2017〕7号）和《忠县人民政府办公室关于印发忠县知识产权及科技成果奖励扶持管理办法的通知》（</w:t>
      </w:r>
      <w:proofErr w:type="gramStart"/>
      <w:r w:rsidRPr="002F6ED3">
        <w:rPr>
          <w:rFonts w:ascii="宋体" w:eastAsia="宋体" w:hAnsi="宋体" w:cs="宋体" w:hint="eastAsia"/>
          <w:color w:val="353535"/>
          <w:kern w:val="0"/>
          <w:szCs w:val="21"/>
        </w:rPr>
        <w:t>忠府办</w:t>
      </w:r>
      <w:proofErr w:type="gramEnd"/>
      <w:r w:rsidRPr="002F6ED3">
        <w:rPr>
          <w:rFonts w:ascii="宋体" w:eastAsia="宋体" w:hAnsi="宋体" w:cs="宋体" w:hint="eastAsia"/>
          <w:color w:val="353535"/>
          <w:kern w:val="0"/>
          <w:szCs w:val="21"/>
        </w:rPr>
        <w:t>发〔2017〕11号）执行。</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color w:val="353535"/>
          <w:kern w:val="0"/>
          <w:szCs w:val="21"/>
        </w:rPr>
        <w:t>（六）质量品牌</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第十九条</w:t>
      </w:r>
      <w:r w:rsidRPr="002F6ED3">
        <w:rPr>
          <w:rFonts w:ascii="宋体" w:eastAsia="宋体" w:hAnsi="宋体" w:cs="宋体" w:hint="eastAsia"/>
          <w:color w:val="353535"/>
          <w:kern w:val="0"/>
          <w:szCs w:val="21"/>
        </w:rPr>
        <w:t> 质量品牌</w:t>
      </w:r>
      <w:proofErr w:type="gramStart"/>
      <w:r w:rsidRPr="002F6ED3">
        <w:rPr>
          <w:rFonts w:ascii="宋体" w:eastAsia="宋体" w:hAnsi="宋体" w:cs="宋体" w:hint="eastAsia"/>
          <w:color w:val="353535"/>
          <w:kern w:val="0"/>
          <w:szCs w:val="21"/>
        </w:rPr>
        <w:t>奖励按</w:t>
      </w:r>
      <w:proofErr w:type="gramEnd"/>
      <w:r w:rsidRPr="002F6ED3">
        <w:rPr>
          <w:rFonts w:ascii="宋体" w:eastAsia="宋体" w:hAnsi="宋体" w:cs="宋体" w:hint="eastAsia"/>
          <w:color w:val="353535"/>
          <w:kern w:val="0"/>
          <w:szCs w:val="21"/>
        </w:rPr>
        <w:t>《忠县人民政府办公室关于印发忠县质量品牌奖励办法的通知》（</w:t>
      </w:r>
      <w:proofErr w:type="gramStart"/>
      <w:r w:rsidRPr="002F6ED3">
        <w:rPr>
          <w:rFonts w:ascii="宋体" w:eastAsia="宋体" w:hAnsi="宋体" w:cs="宋体" w:hint="eastAsia"/>
          <w:color w:val="353535"/>
          <w:kern w:val="0"/>
          <w:szCs w:val="21"/>
        </w:rPr>
        <w:t>忠府办</w:t>
      </w:r>
      <w:proofErr w:type="gramEnd"/>
      <w:r w:rsidRPr="002F6ED3">
        <w:rPr>
          <w:rFonts w:ascii="宋体" w:eastAsia="宋体" w:hAnsi="宋体" w:cs="宋体" w:hint="eastAsia"/>
          <w:color w:val="353535"/>
          <w:kern w:val="0"/>
          <w:szCs w:val="21"/>
        </w:rPr>
        <w:t>发〔2014〕12号）执行。</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color w:val="353535"/>
          <w:kern w:val="0"/>
          <w:szCs w:val="21"/>
        </w:rPr>
        <w:t>（七）特殊扶持</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第二十条</w:t>
      </w:r>
      <w:r w:rsidRPr="002F6ED3">
        <w:rPr>
          <w:rFonts w:ascii="宋体" w:eastAsia="宋体" w:hAnsi="宋体" w:cs="宋体" w:hint="eastAsia"/>
          <w:color w:val="353535"/>
          <w:kern w:val="0"/>
          <w:szCs w:val="21"/>
        </w:rPr>
        <w:t> </w:t>
      </w:r>
      <w:r w:rsidRPr="002F6ED3">
        <w:rPr>
          <w:rFonts w:ascii="宋体" w:eastAsia="宋体" w:hAnsi="宋体" w:cs="宋体" w:hint="eastAsia"/>
          <w:color w:val="000000"/>
          <w:kern w:val="0"/>
          <w:szCs w:val="21"/>
        </w:rPr>
        <w:t>上一年度世界500强企业、中国500强企业、中国行业50强企业，国家驰名商标企业，大中型国有控股企业，产业带动性强、产品附加值高、税收贡献大的龙头企业或重大项目，</w:t>
      </w:r>
      <w:r w:rsidRPr="002F6ED3">
        <w:rPr>
          <w:rFonts w:ascii="宋体" w:eastAsia="宋体" w:hAnsi="宋体" w:cs="宋体" w:hint="eastAsia"/>
          <w:color w:val="353535"/>
          <w:kern w:val="0"/>
          <w:szCs w:val="21"/>
        </w:rPr>
        <w:t>按“一事一议”、“</w:t>
      </w:r>
      <w:proofErr w:type="gramStart"/>
      <w:r w:rsidRPr="002F6ED3">
        <w:rPr>
          <w:rFonts w:ascii="宋体" w:eastAsia="宋体" w:hAnsi="宋体" w:cs="宋体" w:hint="eastAsia"/>
          <w:color w:val="353535"/>
          <w:kern w:val="0"/>
          <w:szCs w:val="21"/>
        </w:rPr>
        <w:t>特</w:t>
      </w:r>
      <w:proofErr w:type="gramEnd"/>
      <w:r w:rsidRPr="002F6ED3">
        <w:rPr>
          <w:rFonts w:ascii="宋体" w:eastAsia="宋体" w:hAnsi="宋体" w:cs="宋体" w:hint="eastAsia"/>
          <w:color w:val="353535"/>
          <w:kern w:val="0"/>
          <w:szCs w:val="21"/>
        </w:rPr>
        <w:t>事特办”原则，</w:t>
      </w:r>
      <w:r w:rsidRPr="002F6ED3">
        <w:rPr>
          <w:rFonts w:ascii="宋体" w:eastAsia="宋体" w:hAnsi="宋体" w:cs="宋体" w:hint="eastAsia"/>
          <w:color w:val="000000"/>
          <w:kern w:val="0"/>
          <w:szCs w:val="21"/>
        </w:rPr>
        <w:t>另行予以重点扶持。</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color w:val="000000"/>
          <w:kern w:val="0"/>
          <w:szCs w:val="21"/>
          <w:shd w:val="clear" w:color="auto" w:fill="FFFFFF"/>
        </w:rPr>
        <w:t>四、政策兑现</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第二十一条</w:t>
      </w:r>
      <w:r w:rsidRPr="002F6ED3">
        <w:rPr>
          <w:rFonts w:ascii="宋体" w:eastAsia="宋体" w:hAnsi="宋体" w:cs="宋体" w:hint="eastAsia"/>
          <w:color w:val="000000"/>
          <w:kern w:val="0"/>
          <w:szCs w:val="21"/>
          <w:shd w:val="clear" w:color="auto" w:fill="FFFFFF"/>
        </w:rPr>
        <w:t> 本意</w:t>
      </w:r>
      <w:proofErr w:type="gramStart"/>
      <w:r w:rsidRPr="002F6ED3">
        <w:rPr>
          <w:rFonts w:ascii="宋体" w:eastAsia="宋体" w:hAnsi="宋体" w:cs="宋体" w:hint="eastAsia"/>
          <w:color w:val="000000"/>
          <w:kern w:val="0"/>
          <w:szCs w:val="21"/>
          <w:shd w:val="clear" w:color="auto" w:fill="FFFFFF"/>
        </w:rPr>
        <w:t>见项目</w:t>
      </w:r>
      <w:proofErr w:type="gramEnd"/>
      <w:r w:rsidRPr="002F6ED3">
        <w:rPr>
          <w:rFonts w:ascii="宋体" w:eastAsia="宋体" w:hAnsi="宋体" w:cs="宋体" w:hint="eastAsia"/>
          <w:color w:val="000000"/>
          <w:kern w:val="0"/>
          <w:szCs w:val="21"/>
          <w:shd w:val="clear" w:color="auto" w:fill="FFFFFF"/>
        </w:rPr>
        <w:t>招引政策由县发展改革委牵头组织实施；土地供应政策由县工业园区管委会牵头组织实施；企业扶持政策由县经济信息委牵头组织实施；科技创新政策由县科委牵头组织实施；质量品牌政策</w:t>
      </w:r>
      <w:proofErr w:type="gramStart"/>
      <w:r w:rsidRPr="002F6ED3">
        <w:rPr>
          <w:rFonts w:ascii="宋体" w:eastAsia="宋体" w:hAnsi="宋体" w:cs="宋体" w:hint="eastAsia"/>
          <w:color w:val="000000"/>
          <w:kern w:val="0"/>
          <w:szCs w:val="21"/>
          <w:shd w:val="clear" w:color="auto" w:fill="FFFFFF"/>
        </w:rPr>
        <w:t>由县质监</w:t>
      </w:r>
      <w:proofErr w:type="gramEnd"/>
      <w:r w:rsidRPr="002F6ED3">
        <w:rPr>
          <w:rFonts w:ascii="宋体" w:eastAsia="宋体" w:hAnsi="宋体" w:cs="宋体" w:hint="eastAsia"/>
          <w:color w:val="000000"/>
          <w:kern w:val="0"/>
          <w:szCs w:val="21"/>
          <w:shd w:val="clear" w:color="auto" w:fill="FFFFFF"/>
        </w:rPr>
        <w:t>局牵头组织实施。以上政策中，项目落户奖、城市建设配套费减免实行实时兑现，用地补助从企业申请之日起10个工作日之内兑付落实到企业，其余政策按“一年</w:t>
      </w:r>
      <w:proofErr w:type="gramStart"/>
      <w:r w:rsidRPr="002F6ED3">
        <w:rPr>
          <w:rFonts w:ascii="宋体" w:eastAsia="宋体" w:hAnsi="宋体" w:cs="宋体" w:hint="eastAsia"/>
          <w:color w:val="000000"/>
          <w:kern w:val="0"/>
          <w:szCs w:val="21"/>
          <w:shd w:val="clear" w:color="auto" w:fill="FFFFFF"/>
        </w:rPr>
        <w:t>一</w:t>
      </w:r>
      <w:proofErr w:type="gramEnd"/>
      <w:r w:rsidRPr="002F6ED3">
        <w:rPr>
          <w:rFonts w:ascii="宋体" w:eastAsia="宋体" w:hAnsi="宋体" w:cs="宋体" w:hint="eastAsia"/>
          <w:color w:val="000000"/>
          <w:kern w:val="0"/>
          <w:szCs w:val="21"/>
          <w:shd w:val="clear" w:color="auto" w:fill="FFFFFF"/>
        </w:rPr>
        <w:t>申报、一年</w:t>
      </w:r>
      <w:proofErr w:type="gramStart"/>
      <w:r w:rsidRPr="002F6ED3">
        <w:rPr>
          <w:rFonts w:ascii="宋体" w:eastAsia="宋体" w:hAnsi="宋体" w:cs="宋体" w:hint="eastAsia"/>
          <w:color w:val="000000"/>
          <w:kern w:val="0"/>
          <w:szCs w:val="21"/>
          <w:shd w:val="clear" w:color="auto" w:fill="FFFFFF"/>
        </w:rPr>
        <w:t>一</w:t>
      </w:r>
      <w:proofErr w:type="gramEnd"/>
      <w:r w:rsidRPr="002F6ED3">
        <w:rPr>
          <w:rFonts w:ascii="宋体" w:eastAsia="宋体" w:hAnsi="宋体" w:cs="宋体" w:hint="eastAsia"/>
          <w:color w:val="000000"/>
          <w:kern w:val="0"/>
          <w:szCs w:val="21"/>
          <w:shd w:val="clear" w:color="auto" w:fill="FFFFFF"/>
        </w:rPr>
        <w:t>审核”原则予以兑现。</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第二十二条</w:t>
      </w:r>
      <w:r w:rsidRPr="002F6ED3">
        <w:rPr>
          <w:rFonts w:ascii="宋体" w:eastAsia="宋体" w:hAnsi="宋体" w:cs="宋体" w:hint="eastAsia"/>
          <w:color w:val="353535"/>
          <w:kern w:val="0"/>
          <w:szCs w:val="21"/>
        </w:rPr>
        <w:t> 本意见除上级专项补助以外的所涉补助和奖励资金均在县产业发展资金中统筹安排。</w:t>
      </w:r>
      <w:r w:rsidRPr="002F6ED3">
        <w:rPr>
          <w:rFonts w:ascii="宋体" w:eastAsia="宋体" w:hAnsi="宋体" w:cs="宋体" w:hint="eastAsia"/>
          <w:color w:val="000000"/>
          <w:kern w:val="0"/>
          <w:szCs w:val="21"/>
        </w:rPr>
        <w:t>同一项目、同一事项同时符合本县其他扶持政策规定或</w:t>
      </w:r>
      <w:r w:rsidRPr="002F6ED3">
        <w:rPr>
          <w:rFonts w:ascii="宋体" w:eastAsia="宋体" w:hAnsi="宋体" w:cs="宋体" w:hint="eastAsia"/>
          <w:color w:val="353535"/>
          <w:kern w:val="0"/>
          <w:szCs w:val="21"/>
        </w:rPr>
        <w:t>项目招商引资协议已明确相关优惠政策的，不重复享受，差额部分可按“就高不就低”的原则予以补足。</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color w:val="353535"/>
          <w:kern w:val="0"/>
          <w:szCs w:val="21"/>
        </w:rPr>
        <w:t>五、其他事项</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第二十三条</w:t>
      </w:r>
      <w:r w:rsidRPr="002F6ED3">
        <w:rPr>
          <w:rFonts w:ascii="宋体" w:eastAsia="宋体" w:hAnsi="宋体" w:cs="宋体" w:hint="eastAsia"/>
          <w:color w:val="000000"/>
          <w:kern w:val="0"/>
          <w:szCs w:val="21"/>
        </w:rPr>
        <w:t> 对固定资产投资1亿元以下的工业项目，本政策意见未提及的其它事项按《忠县人民政府办公室关于印发忠县招商引资优惠政策（试行）的通知》（</w:t>
      </w:r>
      <w:proofErr w:type="gramStart"/>
      <w:r w:rsidRPr="002F6ED3">
        <w:rPr>
          <w:rFonts w:ascii="宋体" w:eastAsia="宋体" w:hAnsi="宋体" w:cs="宋体" w:hint="eastAsia"/>
          <w:color w:val="000000"/>
          <w:kern w:val="0"/>
          <w:szCs w:val="21"/>
        </w:rPr>
        <w:t>忠府办</w:t>
      </w:r>
      <w:proofErr w:type="gramEnd"/>
      <w:r w:rsidRPr="002F6ED3">
        <w:rPr>
          <w:rFonts w:ascii="宋体" w:eastAsia="宋体" w:hAnsi="宋体" w:cs="宋体" w:hint="eastAsia"/>
          <w:color w:val="000000"/>
          <w:kern w:val="0"/>
          <w:szCs w:val="21"/>
        </w:rPr>
        <w:t>发〔2015〕89号）执行。</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lastRenderedPageBreak/>
        <w:t>第二十四条</w:t>
      </w:r>
      <w:r w:rsidRPr="002F6ED3">
        <w:rPr>
          <w:rFonts w:ascii="宋体" w:eastAsia="宋体" w:hAnsi="宋体" w:cs="宋体" w:hint="eastAsia"/>
          <w:color w:val="353535"/>
          <w:kern w:val="0"/>
          <w:szCs w:val="21"/>
        </w:rPr>
        <w:t> 本意见所称“以上”</w:t>
      </w:r>
      <w:r w:rsidRPr="002F6ED3">
        <w:rPr>
          <w:rFonts w:ascii="宋体" w:eastAsia="宋体" w:hAnsi="宋体" w:cs="宋体" w:hint="eastAsia"/>
          <w:color w:val="000000"/>
          <w:kern w:val="0"/>
          <w:szCs w:val="21"/>
        </w:rPr>
        <w:t>“以内”</w:t>
      </w:r>
      <w:r w:rsidRPr="002F6ED3">
        <w:rPr>
          <w:rFonts w:ascii="宋体" w:eastAsia="宋体" w:hAnsi="宋体" w:cs="宋体" w:hint="eastAsia"/>
          <w:color w:val="353535"/>
          <w:kern w:val="0"/>
          <w:szCs w:val="21"/>
        </w:rPr>
        <w:t>均包含本数，所指“</w:t>
      </w:r>
      <w:proofErr w:type="gramStart"/>
      <w:r w:rsidRPr="002F6ED3">
        <w:rPr>
          <w:rFonts w:ascii="宋体" w:eastAsia="宋体" w:hAnsi="宋体" w:cs="宋体" w:hint="eastAsia"/>
          <w:color w:val="353535"/>
          <w:kern w:val="0"/>
          <w:szCs w:val="21"/>
        </w:rPr>
        <w:t>规</w:t>
      </w:r>
      <w:proofErr w:type="gramEnd"/>
      <w:r w:rsidRPr="002F6ED3">
        <w:rPr>
          <w:rFonts w:ascii="宋体" w:eastAsia="宋体" w:hAnsi="宋体" w:cs="宋体" w:hint="eastAsia"/>
          <w:color w:val="353535"/>
          <w:kern w:val="0"/>
          <w:szCs w:val="21"/>
        </w:rPr>
        <w:t>上工业企业”是年主营业务收入在2000万元以上、且纳入“企业一套表”联网直报的法人工业企业。</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b/>
          <w:bCs/>
          <w:color w:val="353535"/>
          <w:kern w:val="0"/>
          <w:szCs w:val="21"/>
        </w:rPr>
        <w:t>第二十五条</w:t>
      </w:r>
      <w:r w:rsidRPr="002F6ED3">
        <w:rPr>
          <w:rFonts w:ascii="宋体" w:eastAsia="宋体" w:hAnsi="宋体" w:cs="宋体" w:hint="eastAsia"/>
          <w:color w:val="353535"/>
          <w:kern w:val="0"/>
          <w:szCs w:val="21"/>
        </w:rPr>
        <w:t> 本意见从2017年1月1日起执行。本意见与之前县政府出台的政策相冲突的，以本意见为准。</w:t>
      </w:r>
      <w:r w:rsidRPr="002F6ED3">
        <w:rPr>
          <w:rFonts w:ascii="宋体" w:eastAsia="宋体" w:hAnsi="宋体" w:cs="宋体" w:hint="eastAsia"/>
          <w:color w:val="000000"/>
          <w:kern w:val="0"/>
          <w:szCs w:val="21"/>
        </w:rPr>
        <w:t>若遇国家、重庆市及县级有关政策调整，则按新的</w:t>
      </w:r>
      <w:bookmarkStart w:id="0" w:name="_GoBack"/>
      <w:bookmarkEnd w:id="0"/>
      <w:r w:rsidRPr="002F6ED3">
        <w:rPr>
          <w:rFonts w:ascii="宋体" w:eastAsia="宋体" w:hAnsi="宋体" w:cs="宋体" w:hint="eastAsia"/>
          <w:color w:val="000000"/>
          <w:kern w:val="0"/>
          <w:szCs w:val="21"/>
        </w:rPr>
        <w:t>政策规定执行。</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color w:val="353535"/>
          <w:kern w:val="0"/>
          <w:szCs w:val="21"/>
        </w:rPr>
        <w:t> </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color w:val="353535"/>
          <w:kern w:val="0"/>
          <w:szCs w:val="21"/>
        </w:rPr>
        <w:t> </w:t>
      </w:r>
    </w:p>
    <w:p w:rsidR="002F6ED3" w:rsidRPr="002F6ED3" w:rsidRDefault="002F6ED3" w:rsidP="002F6ED3">
      <w:pPr>
        <w:widowControl/>
        <w:shd w:val="clear" w:color="auto" w:fill="FFFFFF"/>
        <w:spacing w:line="580" w:lineRule="atLeast"/>
        <w:ind w:firstLine="640"/>
        <w:jc w:val="left"/>
        <w:rPr>
          <w:rFonts w:ascii="宋体" w:eastAsia="宋体" w:hAnsi="宋体" w:cs="宋体"/>
          <w:color w:val="353535"/>
          <w:kern w:val="0"/>
          <w:sz w:val="24"/>
          <w:szCs w:val="24"/>
        </w:rPr>
      </w:pPr>
      <w:r w:rsidRPr="002F6ED3">
        <w:rPr>
          <w:rFonts w:ascii="宋体" w:eastAsia="宋体" w:hAnsi="宋体" w:cs="宋体" w:hint="eastAsia"/>
          <w:color w:val="353535"/>
          <w:kern w:val="0"/>
          <w:szCs w:val="21"/>
        </w:rPr>
        <w:t>                        忠县人民政府办公室 </w:t>
      </w:r>
    </w:p>
    <w:p w:rsidR="002F6ED3" w:rsidRPr="002F6ED3" w:rsidRDefault="002F6ED3" w:rsidP="002F6ED3">
      <w:pPr>
        <w:widowControl/>
        <w:shd w:val="clear" w:color="auto" w:fill="FFFFFF"/>
        <w:spacing w:line="420" w:lineRule="atLeast"/>
        <w:ind w:firstLine="5600"/>
        <w:jc w:val="left"/>
        <w:rPr>
          <w:rFonts w:ascii="宋体" w:eastAsia="宋体" w:hAnsi="宋体" w:cs="宋体"/>
          <w:color w:val="353535"/>
          <w:kern w:val="0"/>
          <w:sz w:val="24"/>
          <w:szCs w:val="24"/>
        </w:rPr>
      </w:pPr>
      <w:r w:rsidRPr="002F6ED3">
        <w:rPr>
          <w:rFonts w:ascii="宋体" w:eastAsia="宋体" w:hAnsi="宋体" w:cs="宋体" w:hint="eastAsia"/>
          <w:color w:val="353535"/>
          <w:kern w:val="0"/>
          <w:szCs w:val="21"/>
        </w:rPr>
        <w:t>2017年5月25日</w:t>
      </w:r>
    </w:p>
    <w:p w:rsidR="00202D76" w:rsidRPr="002F6ED3" w:rsidRDefault="00202D76"/>
    <w:sectPr w:rsidR="00202D76" w:rsidRPr="002F6E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D3"/>
    <w:rsid w:val="00202D76"/>
    <w:rsid w:val="002F6ED3"/>
    <w:rsid w:val="00551124"/>
    <w:rsid w:val="00696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7AF25-E834-4E44-A486-D72EC80F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F6ED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F6ED3"/>
    <w:rPr>
      <w:rFonts w:ascii="宋体" w:eastAsia="宋体" w:hAnsi="宋体" w:cs="宋体"/>
      <w:b/>
      <w:bCs/>
      <w:kern w:val="36"/>
      <w:sz w:val="48"/>
      <w:szCs w:val="48"/>
    </w:rPr>
  </w:style>
  <w:style w:type="character" w:customStyle="1" w:styleId="apple-converted-space">
    <w:name w:val="apple-converted-space"/>
    <w:basedOn w:val="a0"/>
    <w:rsid w:val="002F6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369789">
      <w:bodyDiv w:val="1"/>
      <w:marLeft w:val="0"/>
      <w:marRight w:val="0"/>
      <w:marTop w:val="0"/>
      <w:marBottom w:val="0"/>
      <w:divBdr>
        <w:top w:val="none" w:sz="0" w:space="0" w:color="auto"/>
        <w:left w:val="none" w:sz="0" w:space="0" w:color="auto"/>
        <w:bottom w:val="none" w:sz="0" w:space="0" w:color="auto"/>
        <w:right w:val="none" w:sz="0" w:space="0" w:color="auto"/>
      </w:divBdr>
      <w:divsChild>
        <w:div w:id="229851491">
          <w:marLeft w:val="0"/>
          <w:marRight w:val="0"/>
          <w:marTop w:val="0"/>
          <w:marBottom w:val="75"/>
          <w:divBdr>
            <w:top w:val="none" w:sz="0" w:space="0" w:color="auto"/>
            <w:left w:val="none" w:sz="0" w:space="0" w:color="auto"/>
            <w:bottom w:val="none" w:sz="0" w:space="0" w:color="auto"/>
            <w:right w:val="none" w:sz="0" w:space="0" w:color="auto"/>
          </w:divBdr>
        </w:div>
        <w:div w:id="818426559">
          <w:marLeft w:val="0"/>
          <w:marRight w:val="0"/>
          <w:marTop w:val="0"/>
          <w:marBottom w:val="15"/>
          <w:divBdr>
            <w:top w:val="none" w:sz="0" w:space="0" w:color="auto"/>
            <w:left w:val="none" w:sz="0" w:space="0" w:color="auto"/>
            <w:bottom w:val="none" w:sz="0" w:space="0" w:color="auto"/>
            <w:right w:val="none" w:sz="0" w:space="0" w:color="auto"/>
          </w:divBdr>
          <w:divsChild>
            <w:div w:id="159466193">
              <w:marLeft w:val="0"/>
              <w:marRight w:val="0"/>
              <w:marTop w:val="0"/>
              <w:marBottom w:val="0"/>
              <w:divBdr>
                <w:top w:val="none" w:sz="0" w:space="0" w:color="auto"/>
                <w:left w:val="none" w:sz="0" w:space="0" w:color="auto"/>
                <w:bottom w:val="none" w:sz="0" w:space="0" w:color="auto"/>
                <w:right w:val="none" w:sz="0" w:space="0" w:color="auto"/>
              </w:divBdr>
            </w:div>
            <w:div w:id="1574464512">
              <w:marLeft w:val="0"/>
              <w:marRight w:val="0"/>
              <w:marTop w:val="0"/>
              <w:marBottom w:val="0"/>
              <w:divBdr>
                <w:top w:val="none" w:sz="0" w:space="0" w:color="auto"/>
                <w:left w:val="none" w:sz="0" w:space="0" w:color="auto"/>
                <w:bottom w:val="none" w:sz="0" w:space="0" w:color="auto"/>
                <w:right w:val="none" w:sz="0" w:space="0" w:color="auto"/>
              </w:divBdr>
            </w:div>
            <w:div w:id="1539977188">
              <w:marLeft w:val="640"/>
              <w:marRight w:val="0"/>
              <w:marTop w:val="0"/>
              <w:marBottom w:val="0"/>
              <w:divBdr>
                <w:top w:val="none" w:sz="0" w:space="0" w:color="auto"/>
                <w:left w:val="none" w:sz="0" w:space="0" w:color="auto"/>
                <w:bottom w:val="none" w:sz="0" w:space="0" w:color="auto"/>
                <w:right w:val="none" w:sz="0" w:space="0" w:color="auto"/>
              </w:divBdr>
            </w:div>
            <w:div w:id="1382249674">
              <w:marLeft w:val="0"/>
              <w:marRight w:val="0"/>
              <w:marTop w:val="0"/>
              <w:marBottom w:val="0"/>
              <w:divBdr>
                <w:top w:val="none" w:sz="0" w:space="0" w:color="auto"/>
                <w:left w:val="none" w:sz="0" w:space="0" w:color="auto"/>
                <w:bottom w:val="none" w:sz="0" w:space="0" w:color="auto"/>
                <w:right w:val="none" w:sz="0" w:space="0" w:color="auto"/>
              </w:divBdr>
            </w:div>
            <w:div w:id="391537787">
              <w:marLeft w:val="0"/>
              <w:marRight w:val="0"/>
              <w:marTop w:val="0"/>
              <w:marBottom w:val="0"/>
              <w:divBdr>
                <w:top w:val="none" w:sz="0" w:space="0" w:color="auto"/>
                <w:left w:val="none" w:sz="0" w:space="0" w:color="auto"/>
                <w:bottom w:val="none" w:sz="0" w:space="0" w:color="auto"/>
                <w:right w:val="none" w:sz="0" w:space="0" w:color="auto"/>
              </w:divBdr>
            </w:div>
            <w:div w:id="1986816888">
              <w:marLeft w:val="0"/>
              <w:marRight w:val="0"/>
              <w:marTop w:val="0"/>
              <w:marBottom w:val="0"/>
              <w:divBdr>
                <w:top w:val="none" w:sz="0" w:space="0" w:color="auto"/>
                <w:left w:val="none" w:sz="0" w:space="0" w:color="auto"/>
                <w:bottom w:val="none" w:sz="0" w:space="0" w:color="auto"/>
                <w:right w:val="none" w:sz="0" w:space="0" w:color="auto"/>
              </w:divBdr>
            </w:div>
            <w:div w:id="99647358">
              <w:marLeft w:val="0"/>
              <w:marRight w:val="0"/>
              <w:marTop w:val="0"/>
              <w:marBottom w:val="0"/>
              <w:divBdr>
                <w:top w:val="none" w:sz="0" w:space="0" w:color="auto"/>
                <w:left w:val="none" w:sz="0" w:space="0" w:color="auto"/>
                <w:bottom w:val="none" w:sz="0" w:space="0" w:color="auto"/>
                <w:right w:val="none" w:sz="0" w:space="0" w:color="auto"/>
              </w:divBdr>
            </w:div>
            <w:div w:id="1155221953">
              <w:marLeft w:val="0"/>
              <w:marRight w:val="0"/>
              <w:marTop w:val="0"/>
              <w:marBottom w:val="0"/>
              <w:divBdr>
                <w:top w:val="none" w:sz="0" w:space="0" w:color="auto"/>
                <w:left w:val="none" w:sz="0" w:space="0" w:color="auto"/>
                <w:bottom w:val="none" w:sz="0" w:space="0" w:color="auto"/>
                <w:right w:val="none" w:sz="0" w:space="0" w:color="auto"/>
              </w:divBdr>
            </w:div>
            <w:div w:id="333531005">
              <w:marLeft w:val="0"/>
              <w:marRight w:val="0"/>
              <w:marTop w:val="0"/>
              <w:marBottom w:val="0"/>
              <w:divBdr>
                <w:top w:val="none" w:sz="0" w:space="0" w:color="auto"/>
                <w:left w:val="none" w:sz="0" w:space="0" w:color="auto"/>
                <w:bottom w:val="none" w:sz="0" w:space="0" w:color="auto"/>
                <w:right w:val="none" w:sz="0" w:space="0" w:color="auto"/>
              </w:divBdr>
            </w:div>
            <w:div w:id="420297905">
              <w:marLeft w:val="0"/>
              <w:marRight w:val="0"/>
              <w:marTop w:val="0"/>
              <w:marBottom w:val="0"/>
              <w:divBdr>
                <w:top w:val="none" w:sz="0" w:space="0" w:color="auto"/>
                <w:left w:val="none" w:sz="0" w:space="0" w:color="auto"/>
                <w:bottom w:val="none" w:sz="0" w:space="0" w:color="auto"/>
                <w:right w:val="none" w:sz="0" w:space="0" w:color="auto"/>
              </w:divBdr>
            </w:div>
            <w:div w:id="1763602880">
              <w:marLeft w:val="0"/>
              <w:marRight w:val="0"/>
              <w:marTop w:val="0"/>
              <w:marBottom w:val="0"/>
              <w:divBdr>
                <w:top w:val="none" w:sz="0" w:space="0" w:color="auto"/>
                <w:left w:val="none" w:sz="0" w:space="0" w:color="auto"/>
                <w:bottom w:val="none" w:sz="0" w:space="0" w:color="auto"/>
                <w:right w:val="none" w:sz="0" w:space="0" w:color="auto"/>
              </w:divBdr>
            </w:div>
            <w:div w:id="2119598013">
              <w:marLeft w:val="0"/>
              <w:marRight w:val="0"/>
              <w:marTop w:val="0"/>
              <w:marBottom w:val="0"/>
              <w:divBdr>
                <w:top w:val="none" w:sz="0" w:space="0" w:color="auto"/>
                <w:left w:val="none" w:sz="0" w:space="0" w:color="auto"/>
                <w:bottom w:val="none" w:sz="0" w:space="0" w:color="auto"/>
                <w:right w:val="none" w:sz="0" w:space="0" w:color="auto"/>
              </w:divBdr>
            </w:div>
            <w:div w:id="714819420">
              <w:marLeft w:val="0"/>
              <w:marRight w:val="0"/>
              <w:marTop w:val="0"/>
              <w:marBottom w:val="0"/>
              <w:divBdr>
                <w:top w:val="none" w:sz="0" w:space="0" w:color="auto"/>
                <w:left w:val="none" w:sz="0" w:space="0" w:color="auto"/>
                <w:bottom w:val="none" w:sz="0" w:space="0" w:color="auto"/>
                <w:right w:val="none" w:sz="0" w:space="0" w:color="auto"/>
              </w:divBdr>
            </w:div>
            <w:div w:id="1009214985">
              <w:marLeft w:val="0"/>
              <w:marRight w:val="0"/>
              <w:marTop w:val="0"/>
              <w:marBottom w:val="0"/>
              <w:divBdr>
                <w:top w:val="none" w:sz="0" w:space="0" w:color="auto"/>
                <w:left w:val="none" w:sz="0" w:space="0" w:color="auto"/>
                <w:bottom w:val="none" w:sz="0" w:space="0" w:color="auto"/>
                <w:right w:val="none" w:sz="0" w:space="0" w:color="auto"/>
              </w:divBdr>
            </w:div>
            <w:div w:id="2128887247">
              <w:marLeft w:val="0"/>
              <w:marRight w:val="0"/>
              <w:marTop w:val="0"/>
              <w:marBottom w:val="0"/>
              <w:divBdr>
                <w:top w:val="none" w:sz="0" w:space="0" w:color="auto"/>
                <w:left w:val="none" w:sz="0" w:space="0" w:color="auto"/>
                <w:bottom w:val="none" w:sz="0" w:space="0" w:color="auto"/>
                <w:right w:val="none" w:sz="0" w:space="0" w:color="auto"/>
              </w:divBdr>
            </w:div>
            <w:div w:id="1335302974">
              <w:marLeft w:val="0"/>
              <w:marRight w:val="0"/>
              <w:marTop w:val="0"/>
              <w:marBottom w:val="0"/>
              <w:divBdr>
                <w:top w:val="none" w:sz="0" w:space="0" w:color="auto"/>
                <w:left w:val="none" w:sz="0" w:space="0" w:color="auto"/>
                <w:bottom w:val="none" w:sz="0" w:space="0" w:color="auto"/>
                <w:right w:val="none" w:sz="0" w:space="0" w:color="auto"/>
              </w:divBdr>
            </w:div>
            <w:div w:id="449470439">
              <w:marLeft w:val="0"/>
              <w:marRight w:val="0"/>
              <w:marTop w:val="0"/>
              <w:marBottom w:val="0"/>
              <w:divBdr>
                <w:top w:val="none" w:sz="0" w:space="0" w:color="auto"/>
                <w:left w:val="none" w:sz="0" w:space="0" w:color="auto"/>
                <w:bottom w:val="none" w:sz="0" w:space="0" w:color="auto"/>
                <w:right w:val="none" w:sz="0" w:space="0" w:color="auto"/>
              </w:divBdr>
            </w:div>
            <w:div w:id="1039547131">
              <w:marLeft w:val="0"/>
              <w:marRight w:val="0"/>
              <w:marTop w:val="0"/>
              <w:marBottom w:val="0"/>
              <w:divBdr>
                <w:top w:val="none" w:sz="0" w:space="0" w:color="auto"/>
                <w:left w:val="none" w:sz="0" w:space="0" w:color="auto"/>
                <w:bottom w:val="none" w:sz="0" w:space="0" w:color="auto"/>
                <w:right w:val="none" w:sz="0" w:space="0" w:color="auto"/>
              </w:divBdr>
            </w:div>
            <w:div w:id="1055666671">
              <w:marLeft w:val="0"/>
              <w:marRight w:val="0"/>
              <w:marTop w:val="0"/>
              <w:marBottom w:val="0"/>
              <w:divBdr>
                <w:top w:val="none" w:sz="0" w:space="0" w:color="auto"/>
                <w:left w:val="none" w:sz="0" w:space="0" w:color="auto"/>
                <w:bottom w:val="none" w:sz="0" w:space="0" w:color="auto"/>
                <w:right w:val="none" w:sz="0" w:space="0" w:color="auto"/>
              </w:divBdr>
            </w:div>
            <w:div w:id="982544515">
              <w:marLeft w:val="0"/>
              <w:marRight w:val="0"/>
              <w:marTop w:val="0"/>
              <w:marBottom w:val="0"/>
              <w:divBdr>
                <w:top w:val="none" w:sz="0" w:space="0" w:color="auto"/>
                <w:left w:val="none" w:sz="0" w:space="0" w:color="auto"/>
                <w:bottom w:val="none" w:sz="0" w:space="0" w:color="auto"/>
                <w:right w:val="none" w:sz="0" w:space="0" w:color="auto"/>
              </w:divBdr>
            </w:div>
            <w:div w:id="229661151">
              <w:marLeft w:val="0"/>
              <w:marRight w:val="0"/>
              <w:marTop w:val="0"/>
              <w:marBottom w:val="0"/>
              <w:divBdr>
                <w:top w:val="none" w:sz="0" w:space="0" w:color="auto"/>
                <w:left w:val="none" w:sz="0" w:space="0" w:color="auto"/>
                <w:bottom w:val="none" w:sz="0" w:space="0" w:color="auto"/>
                <w:right w:val="none" w:sz="0" w:space="0" w:color="auto"/>
              </w:divBdr>
            </w:div>
            <w:div w:id="1359358992">
              <w:marLeft w:val="0"/>
              <w:marRight w:val="0"/>
              <w:marTop w:val="0"/>
              <w:marBottom w:val="0"/>
              <w:divBdr>
                <w:top w:val="none" w:sz="0" w:space="0" w:color="auto"/>
                <w:left w:val="none" w:sz="0" w:space="0" w:color="auto"/>
                <w:bottom w:val="none" w:sz="0" w:space="0" w:color="auto"/>
                <w:right w:val="none" w:sz="0" w:space="0" w:color="auto"/>
              </w:divBdr>
            </w:div>
            <w:div w:id="1781996331">
              <w:marLeft w:val="0"/>
              <w:marRight w:val="0"/>
              <w:marTop w:val="0"/>
              <w:marBottom w:val="0"/>
              <w:divBdr>
                <w:top w:val="none" w:sz="0" w:space="0" w:color="auto"/>
                <w:left w:val="none" w:sz="0" w:space="0" w:color="auto"/>
                <w:bottom w:val="none" w:sz="0" w:space="0" w:color="auto"/>
                <w:right w:val="none" w:sz="0" w:space="0" w:color="auto"/>
              </w:divBdr>
            </w:div>
            <w:div w:id="1057893272">
              <w:marLeft w:val="0"/>
              <w:marRight w:val="0"/>
              <w:marTop w:val="0"/>
              <w:marBottom w:val="0"/>
              <w:divBdr>
                <w:top w:val="none" w:sz="0" w:space="0" w:color="auto"/>
                <w:left w:val="none" w:sz="0" w:space="0" w:color="auto"/>
                <w:bottom w:val="none" w:sz="0" w:space="0" w:color="auto"/>
                <w:right w:val="none" w:sz="0" w:space="0" w:color="auto"/>
              </w:divBdr>
            </w:div>
            <w:div w:id="1981573051">
              <w:marLeft w:val="0"/>
              <w:marRight w:val="0"/>
              <w:marTop w:val="0"/>
              <w:marBottom w:val="0"/>
              <w:divBdr>
                <w:top w:val="none" w:sz="0" w:space="0" w:color="auto"/>
                <w:left w:val="none" w:sz="0" w:space="0" w:color="auto"/>
                <w:bottom w:val="none" w:sz="0" w:space="0" w:color="auto"/>
                <w:right w:val="none" w:sz="0" w:space="0" w:color="auto"/>
              </w:divBdr>
            </w:div>
            <w:div w:id="319582230">
              <w:marLeft w:val="0"/>
              <w:marRight w:val="0"/>
              <w:marTop w:val="0"/>
              <w:marBottom w:val="0"/>
              <w:divBdr>
                <w:top w:val="none" w:sz="0" w:space="0" w:color="auto"/>
                <w:left w:val="none" w:sz="0" w:space="0" w:color="auto"/>
                <w:bottom w:val="none" w:sz="0" w:space="0" w:color="auto"/>
                <w:right w:val="none" w:sz="0" w:space="0" w:color="auto"/>
              </w:divBdr>
            </w:div>
            <w:div w:id="546335816">
              <w:marLeft w:val="0"/>
              <w:marRight w:val="0"/>
              <w:marTop w:val="0"/>
              <w:marBottom w:val="0"/>
              <w:divBdr>
                <w:top w:val="none" w:sz="0" w:space="0" w:color="auto"/>
                <w:left w:val="none" w:sz="0" w:space="0" w:color="auto"/>
                <w:bottom w:val="none" w:sz="0" w:space="0" w:color="auto"/>
                <w:right w:val="none" w:sz="0" w:space="0" w:color="auto"/>
              </w:divBdr>
            </w:div>
            <w:div w:id="918445131">
              <w:marLeft w:val="0"/>
              <w:marRight w:val="0"/>
              <w:marTop w:val="0"/>
              <w:marBottom w:val="0"/>
              <w:divBdr>
                <w:top w:val="none" w:sz="0" w:space="0" w:color="auto"/>
                <w:left w:val="none" w:sz="0" w:space="0" w:color="auto"/>
                <w:bottom w:val="none" w:sz="0" w:space="0" w:color="auto"/>
                <w:right w:val="none" w:sz="0" w:space="0" w:color="auto"/>
              </w:divBdr>
            </w:div>
            <w:div w:id="1098714526">
              <w:marLeft w:val="0"/>
              <w:marRight w:val="0"/>
              <w:marTop w:val="0"/>
              <w:marBottom w:val="0"/>
              <w:divBdr>
                <w:top w:val="none" w:sz="0" w:space="0" w:color="auto"/>
                <w:left w:val="none" w:sz="0" w:space="0" w:color="auto"/>
                <w:bottom w:val="none" w:sz="0" w:space="0" w:color="auto"/>
                <w:right w:val="none" w:sz="0" w:space="0" w:color="auto"/>
              </w:divBdr>
            </w:div>
            <w:div w:id="1883248366">
              <w:marLeft w:val="0"/>
              <w:marRight w:val="0"/>
              <w:marTop w:val="0"/>
              <w:marBottom w:val="0"/>
              <w:divBdr>
                <w:top w:val="none" w:sz="0" w:space="0" w:color="auto"/>
                <w:left w:val="none" w:sz="0" w:space="0" w:color="auto"/>
                <w:bottom w:val="none" w:sz="0" w:space="0" w:color="auto"/>
                <w:right w:val="none" w:sz="0" w:space="0" w:color="auto"/>
              </w:divBdr>
            </w:div>
            <w:div w:id="925070539">
              <w:marLeft w:val="0"/>
              <w:marRight w:val="0"/>
              <w:marTop w:val="0"/>
              <w:marBottom w:val="0"/>
              <w:divBdr>
                <w:top w:val="none" w:sz="0" w:space="0" w:color="auto"/>
                <w:left w:val="none" w:sz="0" w:space="0" w:color="auto"/>
                <w:bottom w:val="none" w:sz="0" w:space="0" w:color="auto"/>
                <w:right w:val="none" w:sz="0" w:space="0" w:color="auto"/>
              </w:divBdr>
            </w:div>
            <w:div w:id="1120225678">
              <w:marLeft w:val="0"/>
              <w:marRight w:val="0"/>
              <w:marTop w:val="0"/>
              <w:marBottom w:val="0"/>
              <w:divBdr>
                <w:top w:val="none" w:sz="0" w:space="0" w:color="auto"/>
                <w:left w:val="none" w:sz="0" w:space="0" w:color="auto"/>
                <w:bottom w:val="none" w:sz="0" w:space="0" w:color="auto"/>
                <w:right w:val="none" w:sz="0" w:space="0" w:color="auto"/>
              </w:divBdr>
            </w:div>
            <w:div w:id="1943413736">
              <w:marLeft w:val="0"/>
              <w:marRight w:val="0"/>
              <w:marTop w:val="0"/>
              <w:marBottom w:val="0"/>
              <w:divBdr>
                <w:top w:val="none" w:sz="0" w:space="0" w:color="auto"/>
                <w:left w:val="none" w:sz="0" w:space="0" w:color="auto"/>
                <w:bottom w:val="none" w:sz="0" w:space="0" w:color="auto"/>
                <w:right w:val="none" w:sz="0" w:space="0" w:color="auto"/>
              </w:divBdr>
            </w:div>
            <w:div w:id="78528981">
              <w:marLeft w:val="0"/>
              <w:marRight w:val="0"/>
              <w:marTop w:val="0"/>
              <w:marBottom w:val="0"/>
              <w:divBdr>
                <w:top w:val="none" w:sz="0" w:space="0" w:color="auto"/>
                <w:left w:val="none" w:sz="0" w:space="0" w:color="auto"/>
                <w:bottom w:val="none" w:sz="0" w:space="0" w:color="auto"/>
                <w:right w:val="none" w:sz="0" w:space="0" w:color="auto"/>
              </w:divBdr>
            </w:div>
            <w:div w:id="57208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个人用户</cp:lastModifiedBy>
  <cp:revision>2</cp:revision>
  <dcterms:created xsi:type="dcterms:W3CDTF">2018-05-18T04:10:00Z</dcterms:created>
  <dcterms:modified xsi:type="dcterms:W3CDTF">2018-09-10T10:13:00Z</dcterms:modified>
</cp:coreProperties>
</file>