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5A" w:rsidRPr="007A335A" w:rsidRDefault="007A335A" w:rsidP="007A335A">
      <w:pPr>
        <w:widowControl/>
        <w:spacing w:line="360" w:lineRule="atLeast"/>
        <w:jc w:val="center"/>
        <w:rPr>
          <w:rFonts w:ascii="宋体" w:eastAsia="宋体" w:hAnsi="宋体" w:cs="宋体"/>
          <w:color w:val="124079"/>
          <w:kern w:val="0"/>
          <w:sz w:val="33"/>
          <w:szCs w:val="33"/>
        </w:rPr>
      </w:pPr>
      <w:bookmarkStart w:id="0" w:name="_GoBack"/>
      <w:r w:rsidRPr="007A335A">
        <w:rPr>
          <w:rFonts w:ascii="宋体" w:eastAsia="宋体" w:hAnsi="宋体" w:cs="宋体" w:hint="eastAsia"/>
          <w:color w:val="124079"/>
          <w:kern w:val="0"/>
          <w:sz w:val="33"/>
          <w:szCs w:val="33"/>
        </w:rPr>
        <w:t>财政部海关总署国家税务总局关于赣州市执行西部大开发税收政策问题的通知</w:t>
      </w:r>
      <w:r w:rsidRPr="007A335A">
        <w:rPr>
          <w:rFonts w:ascii="宋体" w:eastAsia="宋体" w:hAnsi="宋体" w:cs="宋体" w:hint="eastAsia"/>
          <w:color w:val="124079"/>
          <w:kern w:val="0"/>
          <w:sz w:val="33"/>
          <w:szCs w:val="33"/>
        </w:rPr>
        <w:br/>
      </w:r>
      <w:bookmarkEnd w:id="0"/>
      <w:r w:rsidRPr="007A335A">
        <w:rPr>
          <w:rFonts w:ascii="宋体" w:eastAsia="宋体" w:hAnsi="宋体" w:cs="宋体" w:hint="eastAsia"/>
          <w:color w:val="124079"/>
          <w:kern w:val="0"/>
          <w:sz w:val="33"/>
          <w:szCs w:val="33"/>
        </w:rPr>
        <w:br/>
      </w:r>
      <w:r w:rsidRPr="007A335A">
        <w:rPr>
          <w:rFonts w:ascii="宋体" w:eastAsia="宋体" w:hAnsi="宋体" w:cs="宋体" w:hint="eastAsia"/>
          <w:color w:val="000000"/>
          <w:kern w:val="0"/>
          <w:sz w:val="24"/>
          <w:szCs w:val="24"/>
        </w:rPr>
        <w:t>财政部 海关总署 国家税务总局</w:t>
      </w:r>
    </w:p>
    <w:p w:rsidR="007A335A" w:rsidRPr="007A335A" w:rsidRDefault="007A335A" w:rsidP="007A335A">
      <w:pPr>
        <w:widowControl/>
        <w:spacing w:line="495" w:lineRule="atLeast"/>
        <w:jc w:val="center"/>
        <w:rPr>
          <w:rFonts w:ascii="宋体" w:eastAsia="宋体" w:hAnsi="宋体" w:cs="宋体" w:hint="eastAsia"/>
          <w:color w:val="4D4D4D"/>
          <w:kern w:val="0"/>
          <w:sz w:val="18"/>
          <w:szCs w:val="18"/>
        </w:rPr>
      </w:pPr>
      <w:r w:rsidRPr="007A335A">
        <w:rPr>
          <w:rFonts w:ascii="宋体" w:eastAsia="宋体" w:hAnsi="宋体" w:cs="宋体" w:hint="eastAsia"/>
          <w:color w:val="4D4D4D"/>
          <w:kern w:val="0"/>
          <w:sz w:val="18"/>
          <w:szCs w:val="18"/>
        </w:rPr>
        <w:t>作者：　发布时间：2015-10-30　来源： 字体：【</w:t>
      </w:r>
      <w:hyperlink r:id="rId4" w:history="1">
        <w:r w:rsidRPr="007A335A">
          <w:rPr>
            <w:rFonts w:ascii="宋体" w:eastAsia="宋体" w:hAnsi="宋体" w:cs="宋体" w:hint="eastAsia"/>
            <w:color w:val="4D4D4D"/>
            <w:kern w:val="0"/>
            <w:sz w:val="18"/>
            <w:szCs w:val="18"/>
          </w:rPr>
          <w:t>大</w:t>
        </w:r>
      </w:hyperlink>
      <w:r w:rsidRPr="007A335A">
        <w:rPr>
          <w:rFonts w:ascii="宋体" w:eastAsia="宋体" w:hAnsi="宋体" w:cs="宋体" w:hint="eastAsia"/>
          <w:color w:val="4D4D4D"/>
          <w:kern w:val="0"/>
          <w:sz w:val="18"/>
          <w:szCs w:val="18"/>
        </w:rPr>
        <w:t>】【</w:t>
      </w:r>
      <w:hyperlink r:id="rId5" w:history="1">
        <w:r w:rsidRPr="007A335A">
          <w:rPr>
            <w:rFonts w:ascii="宋体" w:eastAsia="宋体" w:hAnsi="宋体" w:cs="宋体" w:hint="eastAsia"/>
            <w:color w:val="4D4D4D"/>
            <w:kern w:val="0"/>
            <w:sz w:val="18"/>
            <w:szCs w:val="18"/>
          </w:rPr>
          <w:t>中</w:t>
        </w:r>
      </w:hyperlink>
      <w:r w:rsidRPr="007A335A">
        <w:rPr>
          <w:rFonts w:ascii="宋体" w:eastAsia="宋体" w:hAnsi="宋体" w:cs="宋体" w:hint="eastAsia"/>
          <w:color w:val="4D4D4D"/>
          <w:kern w:val="0"/>
          <w:sz w:val="18"/>
          <w:szCs w:val="18"/>
        </w:rPr>
        <w:t>】【</w:t>
      </w:r>
      <w:hyperlink r:id="rId6" w:history="1">
        <w:r w:rsidRPr="007A335A">
          <w:rPr>
            <w:rFonts w:ascii="宋体" w:eastAsia="宋体" w:hAnsi="宋体" w:cs="宋体" w:hint="eastAsia"/>
            <w:color w:val="4D4D4D"/>
            <w:kern w:val="0"/>
            <w:sz w:val="18"/>
            <w:szCs w:val="18"/>
          </w:rPr>
          <w:t>小</w:t>
        </w:r>
      </w:hyperlink>
      <w:r w:rsidRPr="007A335A">
        <w:rPr>
          <w:rFonts w:ascii="宋体" w:eastAsia="宋体" w:hAnsi="宋体" w:cs="宋体" w:hint="eastAsia"/>
          <w:color w:val="4D4D4D"/>
          <w:kern w:val="0"/>
          <w:sz w:val="18"/>
          <w:szCs w:val="18"/>
        </w:rPr>
        <w:t>】</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江西省财政厅、国家税务局、地方税务局，海关总署广东分署、各直属海关：</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为贯彻落实《国务院关于支持赣南等原中央苏区振兴发展的若干意见》（国发〔2012〕21号）关于赣州市执行西部大开发政策的规定，现将赣州市执行西部大开发税收政策问题通知如下：</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一、对赣州市内</w:t>
      </w:r>
      <w:proofErr w:type="gramStart"/>
      <w:r w:rsidRPr="007A335A">
        <w:rPr>
          <w:rFonts w:ascii="宋体" w:eastAsia="宋体" w:hAnsi="宋体" w:cs="宋体" w:hint="eastAsia"/>
          <w:color w:val="4D4D4D"/>
          <w:kern w:val="0"/>
          <w:sz w:val="24"/>
          <w:szCs w:val="24"/>
        </w:rPr>
        <w:t>资鼓励</w:t>
      </w:r>
      <w:proofErr w:type="gramEnd"/>
      <w:r w:rsidRPr="007A335A">
        <w:rPr>
          <w:rFonts w:ascii="宋体" w:eastAsia="宋体" w:hAnsi="宋体" w:cs="宋体" w:hint="eastAsia"/>
          <w:color w:val="4D4D4D"/>
          <w:kern w:val="0"/>
          <w:sz w:val="24"/>
          <w:szCs w:val="24"/>
        </w:rPr>
        <w:t>类产业、外商投资鼓励类产业及优势产业的项目在投资总额内进口的自用设备，在政策规定范围内免征关税。</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二、自2012年1月1日至2020年12月31日，对设在赣州市的鼓励类产业的内资企业和外商投资企业减按15%的税率征收企业所得税。</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鼓励类产业的内资企业是指以《产业结构调整指导目录》中规定的鼓励类产业项目为主营业务，且其主营业务收入占企业收入总额70%以上的企业。</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鼓励类产业的外商投资企业是指以《外商投资产业指导目录》中规定的鼓励类项目和《中西部地区外商投资优势产业目录》中规定的江西省产业项目为主营业务，且其主营业务收入占企业收入总额70%以上的企业。</w:t>
      </w:r>
    </w:p>
    <w:p w:rsidR="007A335A" w:rsidRPr="007A335A" w:rsidRDefault="007A335A" w:rsidP="007A335A">
      <w:pPr>
        <w:widowControl/>
        <w:spacing w:before="75" w:after="100" w:afterAutospacing="1"/>
        <w:jc w:val="lef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三、本通知自2012年1月1日起执行。</w:t>
      </w:r>
    </w:p>
    <w:p w:rsidR="007A335A" w:rsidRPr="007A335A" w:rsidRDefault="007A335A" w:rsidP="007A335A">
      <w:pPr>
        <w:widowControl/>
        <w:spacing w:before="75" w:after="100" w:afterAutospacing="1"/>
        <w:jc w:val="righ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财政部 海关总署 国家税务总局</w:t>
      </w:r>
    </w:p>
    <w:p w:rsidR="007A335A" w:rsidRPr="007A335A" w:rsidRDefault="007A335A" w:rsidP="007A335A">
      <w:pPr>
        <w:widowControl/>
        <w:spacing w:before="75" w:after="100" w:afterAutospacing="1"/>
        <w:jc w:val="right"/>
        <w:rPr>
          <w:rFonts w:ascii="宋体" w:eastAsia="宋体" w:hAnsi="宋体" w:cs="宋体" w:hint="eastAsia"/>
          <w:color w:val="4D4D4D"/>
          <w:kern w:val="0"/>
          <w:sz w:val="24"/>
          <w:szCs w:val="24"/>
        </w:rPr>
      </w:pPr>
      <w:r w:rsidRPr="007A335A">
        <w:rPr>
          <w:rFonts w:ascii="宋体" w:eastAsia="宋体" w:hAnsi="宋体" w:cs="宋体" w:hint="eastAsia"/>
          <w:color w:val="4D4D4D"/>
          <w:kern w:val="0"/>
          <w:sz w:val="24"/>
          <w:szCs w:val="24"/>
        </w:rPr>
        <w:t xml:space="preserve">　　2013年1月10日</w:t>
      </w:r>
    </w:p>
    <w:p w:rsidR="007A335A" w:rsidRPr="007A335A" w:rsidRDefault="007A335A" w:rsidP="007A335A">
      <w:pPr>
        <w:widowControl/>
        <w:spacing w:line="450" w:lineRule="atLeast"/>
        <w:jc w:val="left"/>
        <w:rPr>
          <w:rFonts w:ascii="宋体" w:eastAsia="宋体" w:hAnsi="宋体" w:cs="宋体" w:hint="eastAsia"/>
          <w:color w:val="4D4D4D"/>
          <w:kern w:val="0"/>
          <w:sz w:val="27"/>
          <w:szCs w:val="27"/>
        </w:rPr>
      </w:pPr>
    </w:p>
    <w:p w:rsidR="005E18F9" w:rsidRDefault="005E18F9"/>
    <w:sectPr w:rsidR="005E1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5A"/>
    <w:rsid w:val="005E18F9"/>
    <w:rsid w:val="007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B11A4-B131-41ED-B361-024D4C82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1853">
      <w:bodyDiv w:val="1"/>
      <w:marLeft w:val="0"/>
      <w:marRight w:val="0"/>
      <w:marTop w:val="0"/>
      <w:marBottom w:val="0"/>
      <w:divBdr>
        <w:top w:val="none" w:sz="0" w:space="0" w:color="auto"/>
        <w:left w:val="none" w:sz="0" w:space="0" w:color="auto"/>
        <w:bottom w:val="none" w:sz="0" w:space="0" w:color="auto"/>
        <w:right w:val="none" w:sz="0" w:space="0" w:color="auto"/>
      </w:divBdr>
      <w:divsChild>
        <w:div w:id="754788587">
          <w:marLeft w:val="0"/>
          <w:marRight w:val="0"/>
          <w:marTop w:val="0"/>
          <w:marBottom w:val="0"/>
          <w:divBdr>
            <w:top w:val="none" w:sz="0" w:space="0" w:color="auto"/>
            <w:left w:val="none" w:sz="0" w:space="0" w:color="auto"/>
            <w:bottom w:val="none" w:sz="0" w:space="0" w:color="auto"/>
            <w:right w:val="none" w:sz="0" w:space="0" w:color="auto"/>
          </w:divBdr>
          <w:divsChild>
            <w:div w:id="655232035">
              <w:marLeft w:val="0"/>
              <w:marRight w:val="0"/>
              <w:marTop w:val="0"/>
              <w:marBottom w:val="0"/>
              <w:divBdr>
                <w:top w:val="none" w:sz="0" w:space="0" w:color="auto"/>
                <w:left w:val="none" w:sz="0" w:space="0" w:color="auto"/>
                <w:bottom w:val="none" w:sz="0" w:space="0" w:color="auto"/>
                <w:right w:val="none" w:sz="0" w:space="0" w:color="auto"/>
              </w:divBdr>
              <w:divsChild>
                <w:div w:id="774404135">
                  <w:marLeft w:val="0"/>
                  <w:marRight w:val="0"/>
                  <w:marTop w:val="0"/>
                  <w:marBottom w:val="0"/>
                  <w:divBdr>
                    <w:top w:val="none" w:sz="0" w:space="0" w:color="auto"/>
                    <w:left w:val="none" w:sz="0" w:space="0" w:color="auto"/>
                    <w:bottom w:val="none" w:sz="0" w:space="0" w:color="auto"/>
                    <w:right w:val="none" w:sz="0" w:space="0" w:color="auto"/>
                  </w:divBdr>
                  <w:divsChild>
                    <w:div w:id="309942653">
                      <w:marLeft w:val="0"/>
                      <w:marRight w:val="0"/>
                      <w:marTop w:val="0"/>
                      <w:marBottom w:val="0"/>
                      <w:divBdr>
                        <w:top w:val="none" w:sz="0" w:space="0" w:color="auto"/>
                        <w:left w:val="none" w:sz="0" w:space="0" w:color="auto"/>
                        <w:bottom w:val="none" w:sz="0" w:space="0" w:color="auto"/>
                        <w:right w:val="none" w:sz="0" w:space="0" w:color="auto"/>
                      </w:divBdr>
                      <w:divsChild>
                        <w:div w:id="1755123183">
                          <w:marLeft w:val="0"/>
                          <w:marRight w:val="0"/>
                          <w:marTop w:val="0"/>
                          <w:marBottom w:val="0"/>
                          <w:divBdr>
                            <w:top w:val="none" w:sz="0" w:space="0" w:color="auto"/>
                            <w:left w:val="single" w:sz="6" w:space="0" w:color="D7D7D7"/>
                            <w:bottom w:val="none" w:sz="0" w:space="0" w:color="auto"/>
                            <w:right w:val="single" w:sz="6" w:space="0" w:color="D7D7D7"/>
                          </w:divBdr>
                          <w:divsChild>
                            <w:div w:id="2132047926">
                              <w:marLeft w:val="0"/>
                              <w:marRight w:val="0"/>
                              <w:marTop w:val="0"/>
                              <w:marBottom w:val="0"/>
                              <w:divBdr>
                                <w:top w:val="none" w:sz="0" w:space="0" w:color="auto"/>
                                <w:left w:val="none" w:sz="0" w:space="0" w:color="auto"/>
                                <w:bottom w:val="none" w:sz="0" w:space="0" w:color="auto"/>
                                <w:right w:val="none" w:sz="0" w:space="0" w:color="auto"/>
                              </w:divBdr>
                              <w:divsChild>
                                <w:div w:id="1294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ngnan.gov.cn/zsyz/yhzc/201607/t20160721_402385.html" TargetMode="External"/><Relationship Id="rId5" Type="http://schemas.openxmlformats.org/officeDocument/2006/relationships/hyperlink" Target="http://www.dingnan.gov.cn/zsyz/yhzc/201607/t20160721_402385.html" TargetMode="External"/><Relationship Id="rId4" Type="http://schemas.openxmlformats.org/officeDocument/2006/relationships/hyperlink" Target="http://www.dingnan.gov.cn/zsyz/yhzc/201607/t20160721_40238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2018-05-11T04:15:00Z</dcterms:created>
  <dcterms:modified xsi:type="dcterms:W3CDTF">2018-05-11T04:15:00Z</dcterms:modified>
</cp:coreProperties>
</file>