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DDF" w:rsidRPr="00D73DDF" w:rsidRDefault="00D73DDF" w:rsidP="00D73DDF">
      <w:pPr>
        <w:widowControl/>
        <w:shd w:val="clear" w:color="auto" w:fill="FFFFFF"/>
        <w:spacing w:line="390" w:lineRule="atLeast"/>
        <w:jc w:val="center"/>
        <w:outlineLvl w:val="2"/>
        <w:rPr>
          <w:rFonts w:ascii="微软雅黑" w:eastAsia="微软雅黑" w:hAnsi="微软雅黑" w:cs="宋体"/>
          <w:color w:val="0A3B87"/>
          <w:kern w:val="0"/>
          <w:sz w:val="33"/>
          <w:szCs w:val="33"/>
        </w:rPr>
      </w:pPr>
      <w:r w:rsidRPr="00D73DDF">
        <w:rPr>
          <w:rFonts w:ascii="微软雅黑" w:eastAsia="微软雅黑" w:hAnsi="微软雅黑" w:cs="宋体" w:hint="eastAsia"/>
          <w:color w:val="0A3B87"/>
          <w:kern w:val="0"/>
          <w:sz w:val="33"/>
          <w:szCs w:val="33"/>
        </w:rPr>
        <w:t>珠海市海洋农业和水务局关于印发《珠海市 农业龙头企业申报认定与监测管理办法》（修订稿）的通知</w:t>
      </w:r>
    </w:p>
    <w:p w:rsidR="00D73DDF" w:rsidRPr="00D73DDF" w:rsidRDefault="00D73DDF" w:rsidP="00D73DDF">
      <w:pPr>
        <w:widowControl/>
        <w:shd w:val="clear" w:color="auto" w:fill="FFFFFF"/>
        <w:spacing w:line="390" w:lineRule="atLeast"/>
        <w:jc w:val="center"/>
        <w:rPr>
          <w:rFonts w:ascii="宋体" w:eastAsia="宋体" w:hAnsi="宋体" w:cs="宋体"/>
          <w:color w:val="999999"/>
          <w:kern w:val="0"/>
          <w:sz w:val="18"/>
          <w:szCs w:val="18"/>
        </w:rPr>
      </w:pPr>
      <w:r w:rsidRPr="00D73DDF">
        <w:rPr>
          <w:rFonts w:ascii="宋体" w:eastAsia="宋体" w:hAnsi="宋体" w:cs="宋体" w:hint="eastAsia"/>
          <w:color w:val="999999"/>
          <w:kern w:val="0"/>
          <w:sz w:val="18"/>
          <w:szCs w:val="18"/>
        </w:rPr>
        <w:t>来源:本网站     发表时间:2018-12-27</w:t>
      </w:r>
    </w:p>
    <w:p w:rsidR="00D73DDF" w:rsidRPr="00D73DDF" w:rsidRDefault="00D73DDF" w:rsidP="00D73DDF">
      <w:pPr>
        <w:widowControl/>
        <w:shd w:val="clear" w:color="auto" w:fill="FFFFFF"/>
        <w:spacing w:line="579" w:lineRule="atLeast"/>
        <w:ind w:firstLine="480"/>
        <w:jc w:val="right"/>
        <w:rPr>
          <w:rFonts w:ascii="宋体" w:eastAsia="宋体" w:hAnsi="宋体" w:cs="宋体"/>
          <w:color w:val="000000"/>
          <w:kern w:val="0"/>
          <w:sz w:val="24"/>
          <w:szCs w:val="24"/>
        </w:rPr>
      </w:pPr>
      <w:r w:rsidRPr="00D73DDF">
        <w:rPr>
          <w:rFonts w:ascii="黑体" w:eastAsia="黑体" w:hAnsi="黑体" w:cs="宋体" w:hint="eastAsia"/>
          <w:color w:val="000000"/>
          <w:kern w:val="0"/>
          <w:sz w:val="28"/>
          <w:szCs w:val="28"/>
        </w:rPr>
        <w:t>ZBGS—2018—70</w:t>
      </w:r>
    </w:p>
    <w:p w:rsidR="00D73DDF" w:rsidRPr="00D73DDF" w:rsidRDefault="00D73DDF" w:rsidP="00D73DDF">
      <w:pPr>
        <w:widowControl/>
        <w:shd w:val="clear" w:color="auto" w:fill="FFFFFF"/>
        <w:spacing w:line="579" w:lineRule="atLeast"/>
        <w:ind w:firstLine="480"/>
        <w:jc w:val="left"/>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横琴新区管委会、各区政府（管委会）、市府直属各单位：</w:t>
      </w:r>
    </w:p>
    <w:p w:rsidR="00D73DDF" w:rsidRPr="00D73DDF" w:rsidRDefault="00D73DDF" w:rsidP="00D73DDF">
      <w:pPr>
        <w:widowControl/>
        <w:shd w:val="clear" w:color="auto" w:fill="FFFFFF"/>
        <w:spacing w:line="579" w:lineRule="atLeast"/>
        <w:ind w:firstLine="616"/>
        <w:jc w:val="left"/>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《珠海市农业龙头企业申报认定与监测管理办法》（修订稿），已经市人民政府同意，现印发给你们，请遵照执行。</w:t>
      </w:r>
    </w:p>
    <w:p w:rsidR="00D73DDF" w:rsidRPr="00D73DDF" w:rsidRDefault="00D73DDF" w:rsidP="00D73DDF">
      <w:pPr>
        <w:widowControl/>
        <w:shd w:val="clear" w:color="auto" w:fill="FFFFFF"/>
        <w:spacing w:line="579" w:lineRule="atLeast"/>
        <w:ind w:firstLine="618"/>
        <w:jc w:val="left"/>
        <w:rPr>
          <w:rFonts w:ascii="宋体" w:eastAsia="宋体" w:hAnsi="宋体" w:cs="宋体"/>
          <w:color w:val="000000"/>
          <w:kern w:val="0"/>
          <w:sz w:val="24"/>
          <w:szCs w:val="24"/>
        </w:rPr>
      </w:pPr>
      <w:r w:rsidRPr="00D73DDF">
        <w:rPr>
          <w:rFonts w:ascii="Calibri" w:eastAsia="仿宋" w:hAnsi="Calibri" w:cs="Calibri"/>
          <w:color w:val="000000"/>
          <w:kern w:val="0"/>
          <w:sz w:val="32"/>
          <w:szCs w:val="32"/>
        </w:rPr>
        <w:t> </w:t>
      </w:r>
    </w:p>
    <w:p w:rsidR="00D73DDF" w:rsidRPr="00D73DDF" w:rsidRDefault="00D73DDF" w:rsidP="00D73DDF">
      <w:pPr>
        <w:widowControl/>
        <w:shd w:val="clear" w:color="auto" w:fill="FFFFFF"/>
        <w:spacing w:line="579" w:lineRule="atLeast"/>
        <w:ind w:firstLine="480"/>
        <w:jc w:val="left"/>
        <w:rPr>
          <w:rFonts w:ascii="宋体" w:eastAsia="宋体" w:hAnsi="宋体" w:cs="宋体"/>
          <w:color w:val="000000"/>
          <w:kern w:val="0"/>
          <w:sz w:val="24"/>
          <w:szCs w:val="24"/>
        </w:rPr>
      </w:pPr>
      <w:r w:rsidRPr="00D73DDF">
        <w:rPr>
          <w:rFonts w:ascii="Calibri" w:eastAsia="仿宋" w:hAnsi="Calibri" w:cs="Calibri"/>
          <w:color w:val="000000"/>
          <w:kern w:val="0"/>
          <w:sz w:val="32"/>
          <w:szCs w:val="32"/>
        </w:rPr>
        <w:t> </w:t>
      </w:r>
    </w:p>
    <w:p w:rsidR="00D73DDF" w:rsidRPr="00D73DDF" w:rsidRDefault="00D73DDF" w:rsidP="00D73DDF">
      <w:pPr>
        <w:widowControl/>
        <w:shd w:val="clear" w:color="auto" w:fill="FFFFFF"/>
        <w:spacing w:line="579" w:lineRule="atLeast"/>
        <w:ind w:firstLine="480"/>
        <w:jc w:val="left"/>
        <w:rPr>
          <w:rFonts w:ascii="宋体" w:eastAsia="宋体" w:hAnsi="宋体" w:cs="宋体"/>
          <w:color w:val="000000"/>
          <w:kern w:val="0"/>
          <w:sz w:val="24"/>
          <w:szCs w:val="24"/>
        </w:rPr>
      </w:pPr>
      <w:r w:rsidRPr="00D73DDF">
        <w:rPr>
          <w:rFonts w:ascii="Calibri" w:eastAsia="仿宋" w:hAnsi="Calibri" w:cs="Calibri"/>
          <w:color w:val="000000"/>
          <w:kern w:val="0"/>
          <w:sz w:val="32"/>
          <w:szCs w:val="32"/>
        </w:rPr>
        <w:t> </w:t>
      </w:r>
    </w:p>
    <w:p w:rsidR="00D73DDF" w:rsidRPr="00D73DDF" w:rsidRDefault="00D73DDF" w:rsidP="00E13D78">
      <w:pPr>
        <w:widowControl/>
        <w:shd w:val="clear" w:color="auto" w:fill="FFFFFF"/>
        <w:spacing w:line="579" w:lineRule="atLeast"/>
        <w:jc w:val="right"/>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珠海市海洋农业和水务局</w:t>
      </w:r>
    </w:p>
    <w:p w:rsidR="00D73DDF" w:rsidRPr="00D73DDF" w:rsidRDefault="00D73DDF" w:rsidP="00D73DDF">
      <w:pPr>
        <w:widowControl/>
        <w:shd w:val="clear" w:color="auto" w:fill="FFFFFF"/>
        <w:spacing w:line="579" w:lineRule="atLeast"/>
        <w:ind w:firstLine="5562"/>
        <w:jc w:val="left"/>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2018年12月27日</w:t>
      </w:r>
    </w:p>
    <w:p w:rsidR="00D73DDF" w:rsidRPr="00D73DDF" w:rsidRDefault="00D73DDF" w:rsidP="00D73DDF">
      <w:pPr>
        <w:widowControl/>
        <w:shd w:val="clear" w:color="auto" w:fill="FFFFFF"/>
        <w:spacing w:line="520" w:lineRule="atLeast"/>
        <w:ind w:firstLine="480"/>
        <w:jc w:val="left"/>
        <w:rPr>
          <w:rFonts w:ascii="宋体" w:eastAsia="宋体" w:hAnsi="宋体" w:cs="宋体"/>
          <w:color w:val="000000"/>
          <w:kern w:val="0"/>
          <w:sz w:val="24"/>
          <w:szCs w:val="24"/>
        </w:rPr>
      </w:pPr>
      <w:r w:rsidRPr="00D73DDF">
        <w:rPr>
          <w:rFonts w:ascii="仿宋_GB2312" w:eastAsia="仿宋_GB2312" w:hAnsi="宋体" w:cs="宋体" w:hint="eastAsia"/>
          <w:color w:val="000000"/>
          <w:kern w:val="0"/>
          <w:sz w:val="32"/>
          <w:szCs w:val="32"/>
        </w:rPr>
        <w:t> </w:t>
      </w:r>
    </w:p>
    <w:p w:rsidR="00D73DDF" w:rsidRPr="00D73DDF" w:rsidRDefault="00D73DDF" w:rsidP="00D73DDF">
      <w:pPr>
        <w:widowControl/>
        <w:shd w:val="clear" w:color="auto" w:fill="FFFFFF"/>
        <w:spacing w:line="560" w:lineRule="atLeast"/>
        <w:ind w:firstLine="480"/>
        <w:jc w:val="center"/>
        <w:rPr>
          <w:rFonts w:ascii="宋体" w:eastAsia="宋体" w:hAnsi="宋体" w:cs="宋体"/>
          <w:color w:val="000000"/>
          <w:kern w:val="0"/>
          <w:sz w:val="24"/>
          <w:szCs w:val="24"/>
        </w:rPr>
      </w:pPr>
      <w:r w:rsidRPr="00D73DDF">
        <w:rPr>
          <w:rFonts w:ascii="宋体" w:eastAsia="宋体" w:hAnsi="宋体" w:cs="宋体"/>
          <w:b/>
          <w:bCs/>
          <w:color w:val="000000"/>
          <w:kern w:val="0"/>
          <w:sz w:val="44"/>
          <w:szCs w:val="44"/>
        </w:rPr>
        <w:t>珠海市农业龙头企业申报认定与监测管理办法</w:t>
      </w:r>
    </w:p>
    <w:p w:rsidR="00D73DDF" w:rsidRPr="00D73DDF" w:rsidRDefault="00D73DDF" w:rsidP="00D73DDF">
      <w:pPr>
        <w:widowControl/>
        <w:shd w:val="clear" w:color="auto" w:fill="FFFFFF"/>
        <w:spacing w:line="560" w:lineRule="atLeast"/>
        <w:ind w:firstLine="480"/>
        <w:jc w:val="center"/>
        <w:rPr>
          <w:rFonts w:ascii="宋体" w:eastAsia="宋体" w:hAnsi="宋体" w:cs="宋体"/>
          <w:color w:val="000000"/>
          <w:kern w:val="0"/>
          <w:sz w:val="24"/>
          <w:szCs w:val="24"/>
        </w:rPr>
      </w:pPr>
      <w:r w:rsidRPr="00D73DDF">
        <w:rPr>
          <w:rFonts w:ascii="宋体" w:eastAsia="宋体" w:hAnsi="宋体" w:cs="宋体"/>
          <w:b/>
          <w:bCs/>
          <w:color w:val="000000"/>
          <w:kern w:val="0"/>
          <w:sz w:val="44"/>
          <w:szCs w:val="44"/>
        </w:rPr>
        <w:t>（修订稿）</w:t>
      </w:r>
    </w:p>
    <w:p w:rsidR="00D73DDF" w:rsidRPr="00D73DDF" w:rsidRDefault="00D73DDF" w:rsidP="00D73DDF">
      <w:pPr>
        <w:widowControl/>
        <w:shd w:val="clear" w:color="auto" w:fill="FFFFFF"/>
        <w:spacing w:line="560" w:lineRule="atLeast"/>
        <w:ind w:firstLine="618"/>
        <w:jc w:val="left"/>
        <w:rPr>
          <w:rFonts w:ascii="宋体" w:eastAsia="宋体" w:hAnsi="宋体" w:cs="宋体"/>
          <w:color w:val="000000"/>
          <w:kern w:val="0"/>
          <w:sz w:val="24"/>
          <w:szCs w:val="24"/>
        </w:rPr>
      </w:pPr>
      <w:r w:rsidRPr="00D73DDF">
        <w:rPr>
          <w:rFonts w:ascii="仿宋_GB2312" w:eastAsia="仿宋_GB2312" w:hAnsi="宋体" w:cs="宋体" w:hint="eastAsia"/>
          <w:color w:val="000000"/>
          <w:kern w:val="0"/>
          <w:sz w:val="32"/>
          <w:szCs w:val="32"/>
        </w:rPr>
        <w:t> </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为适应实施乡村振兴战略、发展现代农业的新要求和农业产业化发展的新情况，进一步加强和规范我市农业龙头企业的申报认定和运行监测管理工作，根据农业农村部等八部</w:t>
      </w:r>
      <w:r w:rsidRPr="00D73DDF">
        <w:rPr>
          <w:rFonts w:ascii="仿宋" w:eastAsia="仿宋" w:hAnsi="仿宋" w:cs="宋体" w:hint="eastAsia"/>
          <w:color w:val="000000"/>
          <w:kern w:val="0"/>
          <w:sz w:val="32"/>
          <w:szCs w:val="32"/>
        </w:rPr>
        <w:lastRenderedPageBreak/>
        <w:t>委关于印发《农业产业化国家重点龙头企业认定和运行监测管理办法》的通知（农经发〔2018〕1号）和广东省农业厅颁发的《广东省重点农业龙头企业申报认定与监测管理办法》(粤农〔2014〕200号），结合珠海市实际，特制定本办法。</w:t>
      </w:r>
    </w:p>
    <w:p w:rsidR="00D73DDF" w:rsidRPr="00D73DDF" w:rsidRDefault="00D73DDF" w:rsidP="00D73DDF">
      <w:pPr>
        <w:widowControl/>
        <w:shd w:val="clear" w:color="auto" w:fill="FFFFFF"/>
        <w:spacing w:line="560" w:lineRule="atLeast"/>
        <w:ind w:left="619" w:firstLine="480"/>
        <w:rPr>
          <w:rFonts w:ascii="宋体" w:eastAsia="宋体" w:hAnsi="宋体" w:cs="宋体"/>
          <w:color w:val="000000"/>
          <w:kern w:val="0"/>
          <w:sz w:val="24"/>
          <w:szCs w:val="24"/>
        </w:rPr>
      </w:pPr>
      <w:r w:rsidRPr="00D73DDF">
        <w:rPr>
          <w:rFonts w:ascii="黑体" w:eastAsia="黑体" w:hAnsi="黑体" w:cs="宋体" w:hint="eastAsia"/>
          <w:color w:val="000000"/>
          <w:kern w:val="0"/>
          <w:sz w:val="32"/>
          <w:szCs w:val="32"/>
        </w:rPr>
        <w:t>一、基本原则</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坚持“政府主导、部门联动、中介参与、社会监督”的原则，按照“扶强、扶大、扶优”和“公开、公平、公正”的要求，不干预企业生产经营自主权，遵循市场经济规律，引进竞争淘汰机制，支持农业龙头企业提升竞争力、影响力和带动力。</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黑体" w:eastAsia="黑体" w:hAnsi="黑体" w:cs="宋体" w:hint="eastAsia"/>
          <w:color w:val="000000"/>
          <w:kern w:val="0"/>
          <w:sz w:val="32"/>
          <w:szCs w:val="32"/>
        </w:rPr>
        <w:t>二、申报条件和标准</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申报市农业龙头企业必须是在本市行政区域内以农产品生产型、农产品加工及流通型、农产品市场带动型、饲料生产型、农业投入品生产型、农业科技推广型、农业新业态型共七种类型为主业的企业，其中农产品、饲料产品、农业投入品或农业科技推广产品销售收入（交易额）要占总销售收入（总交易额）70％以上；并在企业经营规模、企业效益和企业竞争力等方面达到一定标准；企业守法经营、照章纳税、信用良好；以及通过各种利益联结机制有效辐射带动一定数量农户。</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市农业龙头企业认定以百分制计分，综合得分80分及以上的为候选企业。（具体指标见附件1）</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黑体" w:eastAsia="黑体" w:hAnsi="黑体" w:cs="宋体" w:hint="eastAsia"/>
          <w:color w:val="000000"/>
          <w:kern w:val="0"/>
          <w:sz w:val="32"/>
          <w:szCs w:val="32"/>
        </w:rPr>
        <w:lastRenderedPageBreak/>
        <w:t>三、申报与认定</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楷体" w:eastAsia="楷体" w:hAnsi="楷体" w:cs="宋体" w:hint="eastAsia"/>
          <w:color w:val="000000"/>
          <w:kern w:val="0"/>
          <w:sz w:val="32"/>
          <w:szCs w:val="32"/>
        </w:rPr>
        <w:t>（一）申报材料</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1.填写《珠海市农业龙头企业申报表》(附件2)；</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2.工商营业执照复印件；</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3.有资质会计师事务所出具的上年度审计报告；</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4.企业开户银行出具企业在日常经济往来中守法、诚信、运行正常的证明；</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5.生产基地的产权证书或企业与有关单位签订的土地或生产设施使用合同、协议等复印件；</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6.企业招聘农（渔）工的用工合同及名册；与农民专业合作经济组织、专业大户、农村经纪人、农户或村集体经济组织签订农产品购销、订单农业、入股分红、利润返还等形式带动农户的合同、协议和占所带动农户20%的农户名册（姓名、住址、联系电话）等相关材料；</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7.企业管理制度和财务制度；</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8.产品质量、环保、科技成果、商标、专利、创新能力等企业在竞争力方面的证明材料；</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9.出具珠海市信用平台的企业信用报告原件。</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以上材料可根据企业情况据实出具，按照顺序装订成册，提交复印件的应同时提交原件给接受材料部门进行核对。</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楷体" w:eastAsia="楷体" w:hAnsi="楷体" w:cs="宋体" w:hint="eastAsia"/>
          <w:color w:val="000000"/>
          <w:kern w:val="0"/>
          <w:sz w:val="32"/>
          <w:szCs w:val="32"/>
        </w:rPr>
        <w:t>（二）申报程序</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lastRenderedPageBreak/>
        <w:t>1.由市海洋农业和水务局下发申报通知，每2年申报一次。</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 xml:space="preserve">2.企业向所在区（功能区）农业行政主管部门申报，所在区（功能区）农业行政主管部门对企业申报材料真实性进行审查，对符合条件的申报企业，在申报表上签署审查意见并盖章，报当地政府（管委会）同意，在“区政府（管委会）意见”栏上签注“同意推荐”字样后，报市海洋农业和水务局。 </w:t>
      </w:r>
      <w:r w:rsidRPr="00D73DDF">
        <w:rPr>
          <w:rFonts w:ascii="Calibri" w:eastAsia="仿宋" w:hAnsi="Calibri" w:cs="Calibri"/>
          <w:color w:val="000000"/>
          <w:kern w:val="0"/>
          <w:sz w:val="32"/>
          <w:szCs w:val="32"/>
        </w:rPr>
        <w:t>  </w:t>
      </w:r>
      <w:bookmarkStart w:id="0" w:name="_GoBack"/>
      <w:bookmarkEnd w:id="0"/>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楷体" w:eastAsia="楷体" w:hAnsi="楷体" w:cs="宋体" w:hint="eastAsia"/>
          <w:color w:val="000000"/>
          <w:kern w:val="0"/>
          <w:sz w:val="32"/>
          <w:szCs w:val="32"/>
        </w:rPr>
        <w:t>（三）审核及认定程序</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1.市海洋农业和水务局通过市电子政务资源机构或市信用平台查询申报企业有无违法违规失信记录，委托有资质的中介组织对申报企业的材料进行初审，提出初审意见后，组织评审专家组对企业进行实地考察。通过企业介绍、专家提问、企业答辩等形式对申报企业的经营情况和申报材料进行考核，最后由评审专家按本办法规定的指标评分,形成评审意见。市海洋农业和水务局对中介组织出具的评审意见进行复核，提出复核意见并征求市发展和改革局、市财政局、市工商局、市税务局、市人力资源和社会保障局等单位意见。</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2.市海洋农业和水务局综合上述各有关单位反馈的意见确定市农业龙头企业候选对象，在局官网上向社会公示7天。公示期间有异议并经查实存在违规、隐瞒或作假行为的，取消其“市农业龙头企业”候选资格；如无异议或异议不成立</w:t>
      </w:r>
      <w:r w:rsidRPr="00D73DDF">
        <w:rPr>
          <w:rFonts w:ascii="仿宋" w:eastAsia="仿宋" w:hAnsi="仿宋" w:cs="宋体" w:hint="eastAsia"/>
          <w:color w:val="000000"/>
          <w:kern w:val="0"/>
          <w:sz w:val="32"/>
          <w:szCs w:val="32"/>
        </w:rPr>
        <w:lastRenderedPageBreak/>
        <w:t>的，由市海洋农业和水务局报市政府批准后授予“珠海市农业龙头企业”称号，并颁发牌匾。</w:t>
      </w:r>
    </w:p>
    <w:p w:rsidR="00D73DDF" w:rsidRPr="00D73DDF" w:rsidRDefault="00D73DDF" w:rsidP="00D73DDF">
      <w:pPr>
        <w:widowControl/>
        <w:shd w:val="clear" w:color="auto" w:fill="FFFFFF"/>
        <w:spacing w:line="560" w:lineRule="atLeast"/>
        <w:ind w:left="-4" w:firstLine="618"/>
        <w:rPr>
          <w:rFonts w:ascii="宋体" w:eastAsia="宋体" w:hAnsi="宋体" w:cs="宋体"/>
          <w:color w:val="000000"/>
          <w:kern w:val="0"/>
          <w:sz w:val="24"/>
          <w:szCs w:val="24"/>
        </w:rPr>
      </w:pPr>
      <w:r w:rsidRPr="00D73DDF">
        <w:rPr>
          <w:rFonts w:ascii="黑体" w:eastAsia="黑体" w:hAnsi="黑体" w:cs="宋体" w:hint="eastAsia"/>
          <w:color w:val="000000"/>
          <w:kern w:val="0"/>
          <w:sz w:val="32"/>
          <w:szCs w:val="32"/>
        </w:rPr>
        <w:t>四、运行监测与管理</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市海洋农业和水务局对市农业龙头企业实行运行监测、动态管理、优保劣汰机制。实行每2年监测一次的审核制度，监测以百分制计分，综合得分80分及以上的为合格企业，监测材料参照申报材料提供（企业填写《珠海市农业龙头企业监测表》（附件3），监测程序参照申报、审核及认定程序。对监测合格的企业由市海洋农业和水务局报市政府确认公布，继续享受有关优惠政策；对监测不合格的企业，取消其“珠海市农业龙头企业”资格，收回牌匾。</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为鼓励市农业龙头企业积极参与行业交流和社会公益活动，在对市级农业龙头企业监测时，对积极参与扶贫和农业交流合作的企业给予加分。（具体指标见附件1）</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我市省级以上重点农业龙头企业不纳入市的监测范围，有关工作由省农业农村厅或国家农业农村部对其进行监测。</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黑体" w:eastAsia="黑体" w:hAnsi="黑体" w:cs="宋体" w:hint="eastAsia"/>
          <w:color w:val="000000"/>
          <w:kern w:val="0"/>
          <w:sz w:val="32"/>
          <w:szCs w:val="32"/>
        </w:rPr>
        <w:t>五、相关扶持优惠政策</w:t>
      </w:r>
    </w:p>
    <w:p w:rsidR="00D73DDF" w:rsidRPr="00D73DDF" w:rsidRDefault="00D73DDF" w:rsidP="00D73DDF">
      <w:pPr>
        <w:widowControl/>
        <w:shd w:val="clear" w:color="auto" w:fill="FFFFFF"/>
        <w:spacing w:line="560" w:lineRule="atLeast"/>
        <w:ind w:firstLine="618"/>
        <w:jc w:val="left"/>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（一）市财政对市级农业龙头企业一次性补助10万元，省级农业龙头企业一次性补助20万元，国家级农业龙头企业一次性补助30万元。</w:t>
      </w:r>
    </w:p>
    <w:p w:rsidR="00D73DDF" w:rsidRPr="00D73DDF" w:rsidRDefault="00D73DDF" w:rsidP="00D73DDF">
      <w:pPr>
        <w:widowControl/>
        <w:shd w:val="clear" w:color="auto" w:fill="FFFFFF"/>
        <w:spacing w:line="560" w:lineRule="atLeast"/>
        <w:ind w:firstLine="618"/>
        <w:jc w:val="left"/>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lastRenderedPageBreak/>
        <w:t>（二）在每年预算安排的农业专项资金中设立一定额度的贷款贴息扶持资金，对市级以上农业龙头企业的贷款进行贴息扶持。</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三）鼓励农业龙头企业按照安全、优质、环保、高效的要求，大力发展绿色环保农产品，扶持农业龙头企业农产品品牌建设，具体实施参照珠海市海洋农业和水务局、珠海市财政局《关于印发珠海市扶持农产品品牌建设补助工作方案的通知》（珠海农水〔2018〕259号）执行。</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（四）鼓励农业龙头企业引进推广新技术、新品种、技术更新和品种改良，在政府涉农资金中优选扶持。</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黑体" w:eastAsia="黑体" w:hAnsi="黑体" w:cs="宋体" w:hint="eastAsia"/>
          <w:color w:val="000000"/>
          <w:kern w:val="0"/>
          <w:sz w:val="32"/>
          <w:szCs w:val="32"/>
        </w:rPr>
        <w:t>六、违规违法情况处理</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有下列行为之一的企业，不得评为“珠海市农业龙头企业”，已被评为市农业龙头企业的，取消其“珠海市农业龙头企业”资格，并在违法违规行为发生之日起3年内不得申报市农业龙头企业。</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1.被税务部门查实，有偷、逃、骗、抗税等违法行为的；</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2.拖欠财政借款，或违反政府资金使用范围的，经财政部门或主管部门指出拒不改正的；</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3.由于防范措施不力或防范不当，致使发生重大安全事故，造成人民生命和财产重大</w:t>
      </w:r>
      <w:r w:rsidR="00E13D78">
        <w:rPr>
          <w:rFonts w:ascii="仿宋" w:eastAsia="仿宋" w:hAnsi="仿宋" w:cs="宋体"/>
          <w:color w:val="000000"/>
          <w:kern w:val="0"/>
          <w:sz w:val="32"/>
          <w:szCs w:val="32"/>
        </w:rPr>
        <w:tab/>
      </w:r>
      <w:r w:rsidRPr="00D73DDF">
        <w:rPr>
          <w:rFonts w:ascii="仿宋" w:eastAsia="仿宋" w:hAnsi="仿宋" w:cs="宋体" w:hint="eastAsia"/>
          <w:color w:val="000000"/>
          <w:kern w:val="0"/>
          <w:sz w:val="32"/>
          <w:szCs w:val="32"/>
        </w:rPr>
        <w:t>损失的；</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4.近3年内发生质量安全事件，或生产经营假冒伪劣产品，经食药监、质监、工商、农业等部门查实并予以处罚的；</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lastRenderedPageBreak/>
        <w:t>5.环保不达标，经环保部门查实并予以处罚的；</w:t>
      </w:r>
    </w:p>
    <w:p w:rsidR="00D73DDF" w:rsidRPr="00D73DDF" w:rsidRDefault="00D73DDF" w:rsidP="00D73DDF">
      <w:pPr>
        <w:widowControl/>
        <w:shd w:val="clear" w:color="auto" w:fill="FFFFFF"/>
        <w:spacing w:line="560" w:lineRule="atLeast"/>
        <w:ind w:firstLine="618"/>
        <w:jc w:val="left"/>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6.市海洋农业和水务局、市财政局、市审计局通过正式文件要求企业提供经营情况、财务报表，没有正当理由拒绝提供的；</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7.提供虚假材料的；</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8.其他违反国家法律、法规和政策行为，被立案查处的；</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9.有严重失信行为，被实施失信联合惩戒的。</w:t>
      </w:r>
    </w:p>
    <w:p w:rsidR="00D73DDF" w:rsidRPr="00D73DDF" w:rsidRDefault="00D73DDF" w:rsidP="00D73DDF">
      <w:pPr>
        <w:widowControl/>
        <w:shd w:val="clear" w:color="auto" w:fill="FFFFFF"/>
        <w:spacing w:line="560" w:lineRule="atLeast"/>
        <w:ind w:left="-4" w:firstLine="618"/>
        <w:rPr>
          <w:rFonts w:ascii="宋体" w:eastAsia="宋体" w:hAnsi="宋体" w:cs="宋体"/>
          <w:color w:val="000000"/>
          <w:kern w:val="0"/>
          <w:sz w:val="24"/>
          <w:szCs w:val="24"/>
        </w:rPr>
      </w:pPr>
      <w:r w:rsidRPr="00D73DDF">
        <w:rPr>
          <w:rFonts w:ascii="黑体" w:eastAsia="黑体" w:hAnsi="黑体" w:cs="宋体" w:hint="eastAsia"/>
          <w:color w:val="000000"/>
          <w:kern w:val="0"/>
          <w:sz w:val="32"/>
          <w:szCs w:val="32"/>
        </w:rPr>
        <w:t>七、附则</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1.市农业龙头企业更改企业名称，需要对其市农业龙头企业称号予以重新确认的，企业应出具工商行政管理部门的营业执照等更名材料，由区（功能区）农业行政主管部门提出审查意见，报市海洋农业和水务局以审核确认后，通报市、区（功能区）相关单位。</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2.本办法由市海洋农业和水务局负责解释。</w:t>
      </w:r>
    </w:p>
    <w:p w:rsidR="00D73DDF" w:rsidRPr="00D73DDF" w:rsidRDefault="00D73DDF" w:rsidP="00D73DDF">
      <w:pPr>
        <w:widowControl/>
        <w:shd w:val="clear" w:color="auto" w:fill="FFFFFF"/>
        <w:spacing w:line="560" w:lineRule="atLeast"/>
        <w:ind w:firstLine="618"/>
        <w:rPr>
          <w:rFonts w:ascii="宋体" w:eastAsia="宋体" w:hAnsi="宋体" w:cs="宋体"/>
          <w:color w:val="000000"/>
          <w:kern w:val="0"/>
          <w:sz w:val="24"/>
          <w:szCs w:val="24"/>
        </w:rPr>
      </w:pPr>
      <w:r w:rsidRPr="00D73DDF">
        <w:rPr>
          <w:rFonts w:ascii="仿宋" w:eastAsia="仿宋" w:hAnsi="仿宋" w:cs="宋体" w:hint="eastAsia"/>
          <w:color w:val="000000"/>
          <w:kern w:val="0"/>
          <w:sz w:val="32"/>
          <w:szCs w:val="32"/>
        </w:rPr>
        <w:t>3.本办法自发布之日起30日后施行，有效期为5年，原《珠海市农业龙头企业申报认定与监测管理办法》（珠海农水〔2017〕235号）同时废止。</w:t>
      </w:r>
    </w:p>
    <w:p w:rsidR="005B31D4" w:rsidRDefault="005B31D4"/>
    <w:sectPr w:rsidR="005B31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3DD" w:rsidRDefault="006213DD" w:rsidP="00D73DDF">
      <w:r>
        <w:separator/>
      </w:r>
    </w:p>
  </w:endnote>
  <w:endnote w:type="continuationSeparator" w:id="0">
    <w:p w:rsidR="006213DD" w:rsidRDefault="006213DD" w:rsidP="00D7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3DD" w:rsidRDefault="006213DD" w:rsidP="00D73DDF">
      <w:r>
        <w:separator/>
      </w:r>
    </w:p>
  </w:footnote>
  <w:footnote w:type="continuationSeparator" w:id="0">
    <w:p w:rsidR="006213DD" w:rsidRDefault="006213DD" w:rsidP="00D73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C71"/>
    <w:rsid w:val="005B31D4"/>
    <w:rsid w:val="006213DD"/>
    <w:rsid w:val="00D73DDF"/>
    <w:rsid w:val="00DC3C39"/>
    <w:rsid w:val="00E13D78"/>
    <w:rsid w:val="00EE6C71"/>
    <w:rsid w:val="00F77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D547E2-DC42-4959-86CD-E8B9CB1B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D73DD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3D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3DDF"/>
    <w:rPr>
      <w:sz w:val="18"/>
      <w:szCs w:val="18"/>
    </w:rPr>
  </w:style>
  <w:style w:type="paragraph" w:styleId="a4">
    <w:name w:val="footer"/>
    <w:basedOn w:val="a"/>
    <w:link w:val="Char0"/>
    <w:uiPriority w:val="99"/>
    <w:unhideWhenUsed/>
    <w:rsid w:val="00D73DDF"/>
    <w:pPr>
      <w:tabs>
        <w:tab w:val="center" w:pos="4153"/>
        <w:tab w:val="right" w:pos="8306"/>
      </w:tabs>
      <w:snapToGrid w:val="0"/>
      <w:jc w:val="left"/>
    </w:pPr>
    <w:rPr>
      <w:sz w:val="18"/>
      <w:szCs w:val="18"/>
    </w:rPr>
  </w:style>
  <w:style w:type="character" w:customStyle="1" w:styleId="Char0">
    <w:name w:val="页脚 Char"/>
    <w:basedOn w:val="a0"/>
    <w:link w:val="a4"/>
    <w:uiPriority w:val="99"/>
    <w:rsid w:val="00D73DDF"/>
    <w:rPr>
      <w:sz w:val="18"/>
      <w:szCs w:val="18"/>
    </w:rPr>
  </w:style>
  <w:style w:type="character" w:customStyle="1" w:styleId="3Char">
    <w:name w:val="标题 3 Char"/>
    <w:basedOn w:val="a0"/>
    <w:link w:val="3"/>
    <w:uiPriority w:val="9"/>
    <w:rsid w:val="00D73DDF"/>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446851">
      <w:bodyDiv w:val="1"/>
      <w:marLeft w:val="0"/>
      <w:marRight w:val="0"/>
      <w:marTop w:val="0"/>
      <w:marBottom w:val="0"/>
      <w:divBdr>
        <w:top w:val="none" w:sz="0" w:space="0" w:color="auto"/>
        <w:left w:val="none" w:sz="0" w:space="0" w:color="auto"/>
        <w:bottom w:val="none" w:sz="0" w:space="0" w:color="auto"/>
        <w:right w:val="none" w:sz="0" w:space="0" w:color="auto"/>
      </w:divBdr>
      <w:divsChild>
        <w:div w:id="1679311485">
          <w:marLeft w:val="0"/>
          <w:marRight w:val="0"/>
          <w:marTop w:val="150"/>
          <w:marBottom w:val="375"/>
          <w:divBdr>
            <w:top w:val="none" w:sz="0" w:space="0" w:color="auto"/>
            <w:left w:val="none" w:sz="0" w:space="0" w:color="auto"/>
            <w:bottom w:val="none" w:sz="0" w:space="0" w:color="auto"/>
            <w:right w:val="none" w:sz="0" w:space="0" w:color="auto"/>
          </w:divBdr>
        </w:div>
        <w:div w:id="1674263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450</Words>
  <Characters>2569</Characters>
  <Application>Microsoft Office Word</Application>
  <DocSecurity>0</DocSecurity>
  <Lines>21</Lines>
  <Paragraphs>6</Paragraphs>
  <ScaleCrop>false</ScaleCrop>
  <Company>微软中国</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2019-01-11T06:45:00Z</dcterms:created>
  <dcterms:modified xsi:type="dcterms:W3CDTF">2019-01-14T06:16:00Z</dcterms:modified>
</cp:coreProperties>
</file>