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9C" w:rsidRPr="0074749C" w:rsidRDefault="0074749C" w:rsidP="0074749C">
      <w:pPr>
        <w:widowControl/>
        <w:spacing w:line="660" w:lineRule="atLeast"/>
        <w:jc w:val="center"/>
        <w:rPr>
          <w:rFonts w:ascii="微软雅黑" w:eastAsia="微软雅黑" w:hAnsi="微软雅黑" w:cs="宋体"/>
          <w:color w:val="000000"/>
          <w:kern w:val="0"/>
          <w:sz w:val="45"/>
          <w:szCs w:val="45"/>
        </w:rPr>
      </w:pPr>
      <w:r w:rsidRPr="0074749C">
        <w:rPr>
          <w:rFonts w:ascii="微软雅黑" w:eastAsia="微软雅黑" w:hAnsi="微软雅黑" w:cs="宋体" w:hint="eastAsia"/>
          <w:color w:val="000000"/>
          <w:kern w:val="0"/>
          <w:sz w:val="45"/>
          <w:szCs w:val="45"/>
        </w:rPr>
        <w:t>天津市河西</w:t>
      </w:r>
      <w:proofErr w:type="gramStart"/>
      <w:r w:rsidRPr="0074749C">
        <w:rPr>
          <w:rFonts w:ascii="微软雅黑" w:eastAsia="微软雅黑" w:hAnsi="微软雅黑" w:cs="宋体" w:hint="eastAsia"/>
          <w:color w:val="000000"/>
          <w:kern w:val="0"/>
          <w:sz w:val="45"/>
          <w:szCs w:val="45"/>
        </w:rPr>
        <w:t>区促进陈塘科技</w:t>
      </w:r>
      <w:proofErr w:type="gramEnd"/>
      <w:r w:rsidRPr="0074749C">
        <w:rPr>
          <w:rFonts w:ascii="微软雅黑" w:eastAsia="微软雅黑" w:hAnsi="微软雅黑" w:cs="宋体" w:hint="eastAsia"/>
          <w:color w:val="000000"/>
          <w:kern w:val="0"/>
          <w:sz w:val="45"/>
          <w:szCs w:val="45"/>
        </w:rPr>
        <w:t>商务区企业发展的扶持意见（试行）</w:t>
      </w:r>
    </w:p>
    <w:p w:rsidR="0074749C" w:rsidRPr="0074749C" w:rsidRDefault="0074749C" w:rsidP="0074749C">
      <w:pPr>
        <w:widowControl/>
        <w:spacing w:line="87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74749C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20AB720D" wp14:editId="007429C1">
            <wp:extent cx="228600" cy="228600"/>
            <wp:effectExtent l="0" t="0" r="0" b="0"/>
            <wp:docPr id="1" name="图片 1" descr="http://tcj.tjhx.gov.cn/tjtcj/xhtml/images/sm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cj.tjhx.gov.cn/tjtcj/xhtml/images/sm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49C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6C43173D" wp14:editId="649392B3">
            <wp:extent cx="228600" cy="228600"/>
            <wp:effectExtent l="0" t="0" r="0" b="0"/>
            <wp:docPr id="2" name="图片 2" descr="http://tcj.tjhx.gov.cn/tjtcj/xhtml/images/big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cj.tjhx.gov.cn/tjtcj/xhtml/images/big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49C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64DF7A0A" wp14:editId="3450D0F2">
            <wp:extent cx="222250" cy="228600"/>
            <wp:effectExtent l="0" t="0" r="6350" b="0"/>
            <wp:docPr id="3" name="图片 3" descr="http://tcj.tjhx.gov.cn/tjtcj/xhtml/images/dy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cj.tjhx.gov.cn/tjtcj/xhtml/images/dy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49C" w:rsidRPr="0074749C" w:rsidRDefault="0074749C" w:rsidP="0074749C">
      <w:pPr>
        <w:widowControl/>
        <w:ind w:firstLine="480"/>
        <w:jc w:val="center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一、总则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（一）目的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为促进陈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塘科技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商务区（以下简称园区）的发展，引导和培育符合园区产业定位的优质企业，鼓励支持其做大做强，制定本政策。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（二）扶持对象和范围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本政策适用于在园区内注册经营的高技术服务型企业、高技术楼宇工业企业、文化创意企业和总部型企业，以及相关单位（部门）和个人。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1．高技术服务型企业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重点发展电信、广播电视传输服务、互联网信息服务、金融服务、计算机服务、软件业、工程技术与规划管理、技术推广服务、科技中介服务、社会人文科学研究与实验发展等高新技术服务企业。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2．高技术楼宇工业企业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重点发展通信产品、计算机及应用设备、感光新技术材料、广播电视技术产品、现代化办公设备、工业装备与自动化系统、高效节能产品、新型元器件等，属于知识、信息、技术和劳动密集型的高技术绿色工业。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3．文化创意企业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重点发展城市建筑规划设计业、广告业、计算机创意设计、文艺创作及演出服务、出版业、新闻服务、休闲娱乐业、都市工业旅游、广电服务等文化创意产业。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4．总部型企业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重点发展国内外企业在园区设立的总部或地区总部。园区内享受政策的总部型企业应符合下列基本条件：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（1）具有独立法人资格，工商注册经营期限在10年以上；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（2）在中国境内外有3个以上投资或被授权管理的企业；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（3）母公司资产总额不低于15亿元，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且母公司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在中国投资累计总额不低于2亿元。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5．从事园区公建项目开发建设的房地产企业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6．中介单位（部门）和个人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（三）符合本政策的企业、机构和个人，应先执行国家和天津市的政策，其后补充执行本政策。如遇天津市、河西区政策调整，则按更优惠政策执行。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（四）本政策实施过程中如</w:t>
      </w:r>
      <w:proofErr w:type="gramStart"/>
      <w:r w:rsidRPr="0074749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遇同时</w:t>
      </w:r>
      <w:proofErr w:type="gramEnd"/>
      <w:r w:rsidRPr="0074749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享受政策条款时，可</w:t>
      </w:r>
      <w:proofErr w:type="gramStart"/>
      <w:r w:rsidRPr="0074749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从优但</w:t>
      </w:r>
      <w:proofErr w:type="gramEnd"/>
      <w:r w:rsidRPr="0074749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不得重复享受奖励政策。</w:t>
      </w:r>
    </w:p>
    <w:p w:rsidR="0074749C" w:rsidRPr="0074749C" w:rsidRDefault="0074749C" w:rsidP="0074749C">
      <w:pPr>
        <w:widowControl/>
        <w:ind w:firstLine="480"/>
        <w:jc w:val="center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二、扶持内容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（一）科技型企业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在园区新设立并通过天津市科委科技型企业认定后享受本政策。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1．一次性购建自用办公用房面积在2000平方米及以上的，按成交价5％的标准给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予购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房者一次性资金补助；注册资金在5000万元及以上，租赁自用办公用房面积在2000平方米及以上的，一年内按房屋租金10％给予租赁者一次性资金补贴，最高补助500万元。同时满足以上两个条件的企业，只能选择其中之一，不可同时享受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2．对园区内新设立的科技型企业，以企业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当年留区税收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（增值税、营业税和企业所得税等税种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的留区部分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，不含稽查、罚补收入，下同）10万元为计算奖励起点，分三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档给予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奖励。标准如下：</w:t>
      </w:r>
    </w:p>
    <w:p w:rsidR="0074749C" w:rsidRPr="0074749C" w:rsidRDefault="0074749C" w:rsidP="0074749C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（二）文化创意企业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以企业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当年留区税收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5万元为计算起点，分3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档给予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政府招商引资奖励。标准如下：</w:t>
      </w:r>
    </w:p>
    <w:p w:rsidR="0074749C" w:rsidRPr="0074749C" w:rsidRDefault="0074749C" w:rsidP="0074749C">
      <w:pPr>
        <w:widowControl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企业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当年留区税收</w:t>
      </w:r>
      <w:proofErr w:type="gramEnd"/>
    </w:p>
    <w:p w:rsidR="0074749C" w:rsidRPr="0074749C" w:rsidRDefault="0074749C" w:rsidP="0074749C">
      <w:pPr>
        <w:widowControl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奖励金额</w:t>
      </w:r>
    </w:p>
    <w:p w:rsidR="0074749C" w:rsidRPr="0074749C" w:rsidRDefault="0074749C" w:rsidP="0074749C">
      <w:pPr>
        <w:widowControl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5万元（含5万元）——30万元（不含30万元）</w:t>
      </w:r>
    </w:p>
    <w:p w:rsidR="0074749C" w:rsidRPr="0074749C" w:rsidRDefault="0074749C" w:rsidP="0074749C">
      <w:pPr>
        <w:widowControl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企业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当年留区税收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＊50％</w:t>
      </w:r>
    </w:p>
    <w:p w:rsidR="0074749C" w:rsidRPr="0074749C" w:rsidRDefault="0074749C" w:rsidP="0074749C">
      <w:pPr>
        <w:widowControl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30万元（含30万元）——60万元（不含60万元）</w:t>
      </w:r>
    </w:p>
    <w:p w:rsidR="0074749C" w:rsidRPr="0074749C" w:rsidRDefault="0074749C" w:rsidP="0074749C">
      <w:pPr>
        <w:widowControl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企业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当年留区税收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＊55％</w:t>
      </w:r>
    </w:p>
    <w:p w:rsidR="0074749C" w:rsidRPr="0074749C" w:rsidRDefault="0074749C" w:rsidP="0074749C">
      <w:pPr>
        <w:widowControl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60万元及以上</w:t>
      </w:r>
    </w:p>
    <w:p w:rsidR="0074749C" w:rsidRPr="0074749C" w:rsidRDefault="0074749C" w:rsidP="0074749C">
      <w:pPr>
        <w:widowControl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企业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当年留区税收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＊60％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  <w:r w:rsidRPr="0074749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（三）总部型企业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．办公用房补贴。对在园区新设立的总部或地区总部购建的自用办公用房，按每平米1000元的标准给予一次性资金补助；租赁的自用办公用房，三年内每年按房屋租金的30％给予补贴，最高补助500万元。若实际租赁价格高于房屋租金市场指导价的，则按市场指导价计算补贴金额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2．政府招商引资奖励。对在园区新设立的总部或地区总部，自纳税年度起，年纳税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实现留区税收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在1000万元（含1000万元）以上的，按企业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当年留区税收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的一定比例给予企业奖励。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（四）从事园区公建项目开发建设的房地产企业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1．其销售部分按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当年留区税收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的40％予以奖励。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2．持有物业出租部分按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当年留区税收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的40％予以奖励。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3．对开发企业通过自身招商平台，依据园区产业规划，引进世界500强企业的，按新引进企业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当年留区税收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的20％给予奖励；引进国内500强企业的，按新引进企业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当年留区税收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的15％给予奖励；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引进市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优质企业的，按10％进行奖励。享受本条政策的企业不再同时享受第（五）条“对中介单位（部门）和个人的奖励”。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（五）中介单位（部门）和个人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1．对新引进（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含从河西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区外新转入）的企业，当年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实现留区税收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10万元以上的，对中介单位（部门）按新转入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企业留区税收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的5％或对个人按3％给予一次性奖励。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2．多单位（部门）共同引进或转入企业的，第一时间向园区管委会报送企业认定材料或备案者为牵头单位（部门），由牵头单位（部门）与其他单位（部门）协商解决奖励资金的分配。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lastRenderedPageBreak/>
        <w:t>（六）普惠性扶持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1．对符合园区产业发展定位且属于我区重点支持产业的入驻企业，其使用园区基础设施所交纳的水、电、气、供暖费，经核实使用合同后给予相应补贴。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2．对园区具有一定规模的高技术服务业、高技术楼宇工业企业、文化创意企业和总部型企业聘任的境内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外高级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管理人员应缴纳的个人所得税，按其地方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分享留区部分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的50％予以奖励。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三、扶持时间和方式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1．新设立企业除一次性奖励外，原则上连续三年享受本政策。区内转入园区并符合园区发展定位的企业，可享受一定奖励扶持政策，具体办法另行制定。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2．从事园区公建项目开发建设的房地产企业，从纳税年度起享受本政策。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3．对招商工作中贡献突出的中介单位（部门）或个人奖励年度为引进企业在享受优惠政策期限内，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留区税收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达到奖励起点时的年度。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4．对企业、中介单位（部门）和个人的奖励，原则上按照财政年度执行。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四、扶持资金的申报、审核、兑现和监督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（一）扶持资金的申报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申请享受有关扶持政策的，须按规定提交下列材料：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1．从区外新转入的企业须提供营业执照、税务登记证、税务迁移单、组织机构代码证和法人证书复印件。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2．园区内新注册成立的企业须提供营业执照、税务登记证、组织机构代码证和法人证书复印件。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3．引进新企业的中介单位（部门）和个人须提供法人证书复印件或个人身份证复印件，并向园区管委会介绍引进企业的具体情况。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4．有关重点企业应提交申请报告和财税部门核实的纳税证明。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（二）扶持资金的审核认定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对享受本扶持政策的企业，由享受政策企业认定审核领导小组进行资格认定，由园区管委会负责日常管理。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关于扶持资金的具体申报、审核、备案等办法，由园区管委会会同财政局制定扶持资金的申报和管理细则。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（三）扶持资金的兑现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1．园区管委会每年12月份向国税局、地税局提供应享受政策的企业名单、纳税申报代码，获取企业纳税数据，核算扶持资金数额。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经享受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政策企业认定审核领导小组审议，并报政府常务会批准后，由财政局按照“收支两条线”和“用管分离”的原则，负责资金兑现。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2．财政局根据当年财政预算资金和园区引导资金安排，按享受政策企业注册时间先后顺序，兑现资金，超过当年度资金额度的，按照注册时间先后顺序顺延至下一财政年度进行兑现。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3．凡符合园区产业政策和发展方向，对区域经济起引领和带动作用的企业，经确认后可延长政策奖励期限。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4．对引进的企业、中介单位（部门）和个人的奖励，主要以奖金的方式进行奖励。根据实际情况，也可采用其他方式。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（四）扶持资金的监督检查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由园区管委会牵头，成立由园区管委会、财政局、工商局、服务办、计委、国税局、地税局、国资委、监察局、审计局、科委、文化局、研究室等单位组成的享受政策企业认定和审核领导小组，负责研究确定入园企业产业发展定位、享</w:t>
      </w: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受政策资格的认定以及扶持和奖励的审核确认。园区管委会负责园区日常管理。审计局负责在区级财政预算执行审计中对奖励资金进行跟踪审计。监察局、审计局、财政局负责对园区招商奖励工作进行专项检查和日常监督检查，并定期向区政府报告奖励资金的使用情况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五、企业享受政策资格问题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发生下列情况的，取消企业享受政策资格，已获得政策扶持资金的，如数追回。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1．原享受奖励的企业通过改制、变更等办法，重新办理享受政策的。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2．企业重复享受政策的。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3．提供虚假材料骗取享受政策的。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六、附则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1．本意见由园区管委会组织实施并负责解释。</w:t>
      </w:r>
    </w:p>
    <w:p w:rsidR="0074749C" w:rsidRPr="0074749C" w:rsidRDefault="0074749C" w:rsidP="0074749C">
      <w:pPr>
        <w:widowControl/>
        <w:ind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2．</w:t>
      </w:r>
      <w:proofErr w:type="gramStart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本意见自2014年1月1日</w:t>
      </w:r>
      <w:proofErr w:type="gramEnd"/>
      <w:r w:rsidRPr="007474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执行。</w:t>
      </w:r>
    </w:p>
    <w:p w:rsidR="00195A9A" w:rsidRPr="0074749C" w:rsidRDefault="00195A9A"/>
    <w:sectPr w:rsidR="00195A9A" w:rsidRPr="00747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9C"/>
    <w:rsid w:val="00195A9A"/>
    <w:rsid w:val="0074749C"/>
    <w:rsid w:val="00F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18719-7D9F-46EB-A46A-756C11CB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38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  <w:divsChild>
            <w:div w:id="2959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javascript:window.print(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tcj.tjhx.gov.cn/tjtcj/xhtml/javascript: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个人用户</cp:lastModifiedBy>
  <cp:revision>3</cp:revision>
  <dcterms:created xsi:type="dcterms:W3CDTF">2018-05-21T06:37:00Z</dcterms:created>
  <dcterms:modified xsi:type="dcterms:W3CDTF">2018-11-02T10:33:00Z</dcterms:modified>
</cp:coreProperties>
</file>