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80" w:rsidRPr="00F94E80" w:rsidRDefault="00F94E80" w:rsidP="00F94E80">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r w:rsidRPr="00F94E80">
        <w:rPr>
          <w:rFonts w:ascii="微软雅黑" w:eastAsia="微软雅黑" w:hAnsi="微软雅黑" w:cs="宋体" w:hint="eastAsia"/>
          <w:color w:val="0066CC"/>
          <w:kern w:val="0"/>
          <w:sz w:val="36"/>
          <w:szCs w:val="36"/>
        </w:rPr>
        <w:t>财政部 税务总局 科技部</w:t>
      </w:r>
    </w:p>
    <w:p w:rsidR="00F94E80" w:rsidRPr="00F94E80" w:rsidRDefault="00F94E80" w:rsidP="00F94E80">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bookmarkStart w:id="0" w:name="_GoBack"/>
      <w:r w:rsidRPr="00F94E80">
        <w:rPr>
          <w:rFonts w:ascii="微软雅黑" w:eastAsia="微软雅黑" w:hAnsi="微软雅黑" w:cs="宋体" w:hint="eastAsia"/>
          <w:color w:val="CC0000"/>
          <w:kern w:val="0"/>
          <w:sz w:val="42"/>
          <w:szCs w:val="42"/>
        </w:rPr>
        <w:t>关于提高科技型中小企业研究开发费用税前加计扣除比例的通知</w:t>
      </w:r>
      <w:bookmarkEnd w:id="0"/>
    </w:p>
    <w:p w:rsidR="00F94E80" w:rsidRPr="00F94E80" w:rsidRDefault="00F94E80" w:rsidP="00F94E80">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F94E80">
        <w:rPr>
          <w:rFonts w:ascii="微软雅黑" w:eastAsia="微软雅黑" w:hAnsi="微软雅黑" w:cs="宋体" w:hint="eastAsia"/>
          <w:color w:val="333333"/>
          <w:kern w:val="0"/>
          <w:szCs w:val="21"/>
        </w:rPr>
        <w:t>财税〔2017〕34号</w:t>
      </w:r>
    </w:p>
    <w:p w:rsidR="00F94E80" w:rsidRPr="00F94E80" w:rsidRDefault="00F94E80" w:rsidP="00F94E80">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F94E80">
        <w:rPr>
          <w:rFonts w:ascii="宋体" w:eastAsia="宋体" w:hAnsi="宋体" w:cs="宋体" w:hint="eastAsia"/>
          <w:color w:val="000000"/>
          <w:kern w:val="0"/>
          <w:sz w:val="18"/>
          <w:szCs w:val="18"/>
          <w:bdr w:val="none" w:sz="0" w:space="0" w:color="auto" w:frame="1"/>
        </w:rPr>
        <w:t>【字体：</w:t>
      </w:r>
      <w:hyperlink r:id="rId7" w:history="1">
        <w:r w:rsidRPr="00F94E80">
          <w:rPr>
            <w:rFonts w:ascii="宋体" w:eastAsia="宋体" w:hAnsi="宋体" w:cs="宋体" w:hint="eastAsia"/>
            <w:color w:val="333333"/>
            <w:kern w:val="0"/>
            <w:sz w:val="18"/>
            <w:szCs w:val="18"/>
            <w:bdr w:val="none" w:sz="0" w:space="0" w:color="auto" w:frame="1"/>
          </w:rPr>
          <w:t>大</w:t>
        </w:r>
      </w:hyperlink>
      <w:r w:rsidRPr="00F94E80">
        <w:rPr>
          <w:rFonts w:ascii="宋体" w:eastAsia="宋体" w:hAnsi="宋体" w:cs="宋体" w:hint="eastAsia"/>
          <w:color w:val="000000"/>
          <w:kern w:val="0"/>
          <w:sz w:val="18"/>
          <w:szCs w:val="18"/>
          <w:bdr w:val="none" w:sz="0" w:space="0" w:color="auto" w:frame="1"/>
        </w:rPr>
        <w:t xml:space="preserve"> </w:t>
      </w:r>
      <w:hyperlink r:id="rId8" w:history="1">
        <w:r w:rsidRPr="00F94E80">
          <w:rPr>
            <w:rFonts w:ascii="宋体" w:eastAsia="宋体" w:hAnsi="宋体" w:cs="宋体" w:hint="eastAsia"/>
            <w:color w:val="333333"/>
            <w:kern w:val="0"/>
            <w:sz w:val="18"/>
            <w:szCs w:val="18"/>
            <w:bdr w:val="none" w:sz="0" w:space="0" w:color="auto" w:frame="1"/>
          </w:rPr>
          <w:t>中</w:t>
        </w:r>
      </w:hyperlink>
      <w:r w:rsidRPr="00F94E80">
        <w:rPr>
          <w:rFonts w:ascii="宋体" w:eastAsia="宋体" w:hAnsi="宋体" w:cs="宋体" w:hint="eastAsia"/>
          <w:color w:val="000000"/>
          <w:kern w:val="0"/>
          <w:sz w:val="18"/>
          <w:szCs w:val="18"/>
          <w:bdr w:val="none" w:sz="0" w:space="0" w:color="auto" w:frame="1"/>
        </w:rPr>
        <w:t xml:space="preserve"> </w:t>
      </w:r>
      <w:hyperlink r:id="rId9" w:history="1">
        <w:r w:rsidRPr="00F94E80">
          <w:rPr>
            <w:rFonts w:ascii="宋体" w:eastAsia="宋体" w:hAnsi="宋体" w:cs="宋体" w:hint="eastAsia"/>
            <w:color w:val="333333"/>
            <w:kern w:val="0"/>
            <w:sz w:val="18"/>
            <w:szCs w:val="18"/>
            <w:bdr w:val="none" w:sz="0" w:space="0" w:color="auto" w:frame="1"/>
          </w:rPr>
          <w:t>小</w:t>
        </w:r>
      </w:hyperlink>
      <w:r w:rsidRPr="00F94E80">
        <w:rPr>
          <w:rFonts w:ascii="宋体" w:eastAsia="宋体" w:hAnsi="宋体" w:cs="宋体" w:hint="eastAsia"/>
          <w:color w:val="000000"/>
          <w:kern w:val="0"/>
          <w:sz w:val="18"/>
          <w:szCs w:val="18"/>
          <w:bdr w:val="none" w:sz="0" w:space="0" w:color="auto" w:frame="1"/>
        </w:rPr>
        <w:t>】</w:t>
      </w:r>
      <w:r w:rsidRPr="00F94E80">
        <w:rPr>
          <w:rFonts w:ascii="宋体" w:eastAsia="宋体" w:hAnsi="宋体" w:cs="宋体" w:hint="eastAsia"/>
          <w:color w:val="999999"/>
          <w:kern w:val="0"/>
          <w:sz w:val="18"/>
          <w:szCs w:val="18"/>
        </w:rPr>
        <w:t xml:space="preserve"> </w:t>
      </w:r>
      <w:hyperlink r:id="rId10" w:history="1">
        <w:r w:rsidRPr="00F94E80">
          <w:rPr>
            <w:rFonts w:ascii="宋体" w:eastAsia="宋体" w:hAnsi="宋体" w:cs="宋体" w:hint="eastAsia"/>
            <w:color w:val="333333"/>
            <w:kern w:val="0"/>
            <w:sz w:val="18"/>
            <w:szCs w:val="18"/>
            <w:bdr w:val="none" w:sz="0" w:space="0" w:color="auto" w:frame="1"/>
          </w:rPr>
          <w:t>打印本页</w:t>
        </w:r>
      </w:hyperlink>
      <w:r w:rsidRPr="00F94E80">
        <w:rPr>
          <w:rFonts w:ascii="宋体" w:eastAsia="宋体" w:hAnsi="宋体" w:cs="宋体" w:hint="eastAsia"/>
          <w:color w:val="999999"/>
          <w:kern w:val="0"/>
          <w:sz w:val="18"/>
          <w:szCs w:val="18"/>
        </w:rPr>
        <w:t xml:space="preserve"> </w:t>
      </w:r>
    </w:p>
    <w:p w:rsidR="00F94E80" w:rsidRPr="00F94E80" w:rsidRDefault="00F94E80" w:rsidP="00F94E80">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F94E80">
        <w:rPr>
          <w:rFonts w:ascii="宋体" w:eastAsia="宋体" w:hAnsi="宋体" w:cs="宋体" w:hint="eastAsia"/>
          <w:color w:val="999999"/>
          <w:kern w:val="0"/>
          <w:sz w:val="18"/>
          <w:szCs w:val="18"/>
        </w:rPr>
        <w:pict/>
      </w:r>
    </w:p>
    <w:p w:rsidR="00F94E80" w:rsidRPr="00F94E80" w:rsidRDefault="00F94E80" w:rsidP="00F94E80">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各省、自治区、直辖市、计划单列市财政厅（局）、国家税务局、地方税务局、科技厅（局），新疆生产建设兵团财务局、科技局：</w:t>
      </w:r>
    </w:p>
    <w:p w:rsidR="00F94E80" w:rsidRPr="00F94E80" w:rsidRDefault="00F94E80" w:rsidP="00F94E80">
      <w:pPr>
        <w:widowControl/>
        <w:shd w:val="clear" w:color="auto" w:fill="FFFFFF"/>
        <w:spacing w:line="540" w:lineRule="atLeast"/>
        <w:jc w:val="lef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 xml:space="preserve">　　为进一步激励中小企业加大研发投入，支持科技创新，现就提高科技型中小企业研究开发费用（以下简称研发费用）税前加计扣除比例有关问题通知如下：</w:t>
      </w:r>
    </w:p>
    <w:p w:rsidR="00F94E80" w:rsidRPr="00F94E80" w:rsidRDefault="00F94E80" w:rsidP="00F94E80">
      <w:pPr>
        <w:widowControl/>
        <w:shd w:val="clear" w:color="auto" w:fill="FFFFFF"/>
        <w:spacing w:line="540" w:lineRule="atLeast"/>
        <w:jc w:val="lef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 xml:space="preserve">　　一、科技型中小企业开展研发活动中实际发生的研发费用，未形成无形资产计入当期损益的，在按规定据实扣除的基础上，在2017年1月1日至2019年12月31日期间，再按照实际发生额的75%在税前加计扣除；形成无形资产的，在上述期间按照无形资产成本的175%在税前摊销。</w:t>
      </w:r>
    </w:p>
    <w:p w:rsidR="00F94E80" w:rsidRPr="00F94E80" w:rsidRDefault="00F94E80" w:rsidP="00F94E80">
      <w:pPr>
        <w:widowControl/>
        <w:shd w:val="clear" w:color="auto" w:fill="FFFFFF"/>
        <w:spacing w:line="540" w:lineRule="atLeast"/>
        <w:jc w:val="lef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 xml:space="preserve">　　二、科技型中小企业享受研发费用税前加计扣除政策的其他政策口径按照《财政部 国家税务总局 科技部关于完善研究开发费用税前加计扣除政策的通知》（财税〔2015〕119号）规定执行。</w:t>
      </w:r>
    </w:p>
    <w:p w:rsidR="00F94E80" w:rsidRPr="00F94E80" w:rsidRDefault="00F94E80" w:rsidP="00F94E80">
      <w:pPr>
        <w:widowControl/>
        <w:shd w:val="clear" w:color="auto" w:fill="FFFFFF"/>
        <w:spacing w:line="540" w:lineRule="atLeast"/>
        <w:jc w:val="lef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 xml:space="preserve">　　 三、科技型中小企业条件和管理办法由科技部、财政部和国家税务总局另行发布。科技、财政和税务部门应建立信息共享机制，及时共享科技型中小企业的相关信息，加强协调配合，保障优惠政策落实到位。</w:t>
      </w:r>
    </w:p>
    <w:p w:rsidR="00F94E80" w:rsidRPr="00F94E80" w:rsidRDefault="00F94E80" w:rsidP="00F94E80">
      <w:pPr>
        <w:widowControl/>
        <w:shd w:val="clear" w:color="auto" w:fill="FFFFFF"/>
        <w:spacing w:line="540" w:lineRule="atLeast"/>
        <w:jc w:val="righ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t>财政部 税务总局 科技部</w:t>
      </w:r>
    </w:p>
    <w:p w:rsidR="00F94E80" w:rsidRPr="00F94E80" w:rsidRDefault="00F94E80" w:rsidP="00F94E80">
      <w:pPr>
        <w:widowControl/>
        <w:shd w:val="clear" w:color="auto" w:fill="FFFFFF"/>
        <w:spacing w:line="540" w:lineRule="atLeast"/>
        <w:jc w:val="right"/>
        <w:rPr>
          <w:rFonts w:ascii="宋体" w:eastAsia="宋体" w:hAnsi="宋体" w:cs="宋体" w:hint="eastAsia"/>
          <w:color w:val="333333"/>
          <w:kern w:val="0"/>
          <w:sz w:val="24"/>
          <w:szCs w:val="24"/>
        </w:rPr>
      </w:pPr>
      <w:r w:rsidRPr="00F94E80">
        <w:rPr>
          <w:rFonts w:ascii="宋体" w:eastAsia="宋体" w:hAnsi="宋体" w:cs="宋体" w:hint="eastAsia"/>
          <w:color w:val="333333"/>
          <w:kern w:val="0"/>
          <w:sz w:val="24"/>
          <w:szCs w:val="24"/>
        </w:rPr>
        <w:lastRenderedPageBreak/>
        <w:t>2017年5月2日</w:t>
      </w:r>
    </w:p>
    <w:p w:rsidR="00892BEE" w:rsidRPr="00F94E80" w:rsidRDefault="00892BEE"/>
    <w:sectPr w:rsidR="00892BEE" w:rsidRPr="00F94E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1A2" w:rsidRDefault="00B431A2" w:rsidP="00F94E80">
      <w:r>
        <w:separator/>
      </w:r>
    </w:p>
  </w:endnote>
  <w:endnote w:type="continuationSeparator" w:id="0">
    <w:p w:rsidR="00B431A2" w:rsidRDefault="00B431A2" w:rsidP="00F9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1A2" w:rsidRDefault="00B431A2" w:rsidP="00F94E80">
      <w:r>
        <w:separator/>
      </w:r>
    </w:p>
  </w:footnote>
  <w:footnote w:type="continuationSeparator" w:id="0">
    <w:p w:rsidR="00B431A2" w:rsidRDefault="00B431A2" w:rsidP="00F94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40E17"/>
    <w:multiLevelType w:val="multilevel"/>
    <w:tmpl w:val="64F2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8E"/>
    <w:rsid w:val="007A4A8E"/>
    <w:rsid w:val="00892BEE"/>
    <w:rsid w:val="00B431A2"/>
    <w:rsid w:val="00F9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871159-E76C-4645-ADC7-B05CCB7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4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4E80"/>
    <w:rPr>
      <w:sz w:val="18"/>
      <w:szCs w:val="18"/>
    </w:rPr>
  </w:style>
  <w:style w:type="paragraph" w:styleId="a4">
    <w:name w:val="footer"/>
    <w:basedOn w:val="a"/>
    <w:link w:val="Char0"/>
    <w:uiPriority w:val="99"/>
    <w:unhideWhenUsed/>
    <w:rsid w:val="00F94E80"/>
    <w:pPr>
      <w:tabs>
        <w:tab w:val="center" w:pos="4153"/>
        <w:tab w:val="right" w:pos="8306"/>
      </w:tabs>
      <w:snapToGrid w:val="0"/>
      <w:jc w:val="left"/>
    </w:pPr>
    <w:rPr>
      <w:sz w:val="18"/>
      <w:szCs w:val="18"/>
    </w:rPr>
  </w:style>
  <w:style w:type="character" w:customStyle="1" w:styleId="Char0">
    <w:name w:val="页脚 Char"/>
    <w:basedOn w:val="a0"/>
    <w:link w:val="a4"/>
    <w:uiPriority w:val="99"/>
    <w:rsid w:val="00F94E80"/>
    <w:rPr>
      <w:sz w:val="18"/>
      <w:szCs w:val="18"/>
    </w:rPr>
  </w:style>
  <w:style w:type="character" w:styleId="a5">
    <w:name w:val="Hyperlink"/>
    <w:basedOn w:val="a0"/>
    <w:uiPriority w:val="99"/>
    <w:semiHidden/>
    <w:unhideWhenUsed/>
    <w:rsid w:val="00F94E80"/>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F94E80"/>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821946">
      <w:bodyDiv w:val="1"/>
      <w:marLeft w:val="0"/>
      <w:marRight w:val="0"/>
      <w:marTop w:val="0"/>
      <w:marBottom w:val="0"/>
      <w:divBdr>
        <w:top w:val="none" w:sz="0" w:space="0" w:color="auto"/>
        <w:left w:val="none" w:sz="0" w:space="0" w:color="auto"/>
        <w:bottom w:val="none" w:sz="0" w:space="0" w:color="auto"/>
        <w:right w:val="none" w:sz="0" w:space="0" w:color="auto"/>
      </w:divBdr>
      <w:divsChild>
        <w:div w:id="792866301">
          <w:marLeft w:val="0"/>
          <w:marRight w:val="0"/>
          <w:marTop w:val="0"/>
          <w:marBottom w:val="0"/>
          <w:divBdr>
            <w:top w:val="none" w:sz="0" w:space="0" w:color="auto"/>
            <w:left w:val="none" w:sz="0" w:space="0" w:color="auto"/>
            <w:bottom w:val="none" w:sz="0" w:space="0" w:color="auto"/>
            <w:right w:val="none" w:sz="0" w:space="0" w:color="auto"/>
          </w:divBdr>
          <w:divsChild>
            <w:div w:id="20437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2597736/content.html" TargetMode="External"/><Relationship Id="rId3" Type="http://schemas.openxmlformats.org/officeDocument/2006/relationships/settings" Target="settings.xml"/><Relationship Id="rId7" Type="http://schemas.openxmlformats.org/officeDocument/2006/relationships/hyperlink" Target="http://www.chinatax.gov.cn/n810341/n810755/c2597736/co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2597736/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2018-09-05T04:16:00Z</dcterms:created>
  <dcterms:modified xsi:type="dcterms:W3CDTF">2018-09-05T04:16:00Z</dcterms:modified>
</cp:coreProperties>
</file>