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bookmarkStart w:id="0" w:name="_GoBack"/>
      <w:r>
        <w:rPr>
          <w:rFonts w:hint="eastAsia" w:ascii="微软雅黑" w:hAnsi="微软雅黑" w:eastAsia="微软雅黑" w:cs="微软雅黑"/>
          <w:b w:val="0"/>
          <w:i w:val="0"/>
          <w:caps w:val="0"/>
          <w:color w:val="333333"/>
          <w:spacing w:val="0"/>
          <w:sz w:val="45"/>
          <w:szCs w:val="45"/>
          <w:bdr w:val="none" w:color="auto" w:sz="0" w:space="0"/>
          <w:shd w:val="clear" w:fill="FFFFFF"/>
        </w:rPr>
        <w:t>霞浦县人民政府办公室关于印发霞浦县新型职业农民认定管理和扶持办法（试行）的通知</w:t>
      </w:r>
    </w:p>
    <w:bookmarkEnd w:id="0"/>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访问次数：0发布时间：2017-10-26</w:t>
      </w:r>
    </w:p>
    <w:p>
      <w:pPr>
        <w:keepNext w:val="0"/>
        <w:keepLines w:val="0"/>
        <w:widowControl/>
        <w:suppressLineNumbers w:val="0"/>
        <w:pBdr>
          <w:bottom w:val="single" w:color="DDDDDD" w:sz="6" w:space="0"/>
        </w:pBdr>
        <w:shd w:val="clear" w:fill="FFFFFF"/>
        <w:spacing w:line="600" w:lineRule="atLeast"/>
        <w:ind w:left="0" w:firstLine="0"/>
        <w:jc w:val="left"/>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kern w:val="0"/>
          <w:sz w:val="18"/>
          <w:szCs w:val="18"/>
          <w:shd w:val="clear" w:fill="FFFFFF"/>
          <w:lang w:val="en-US" w:eastAsia="zh-CN" w:bidi="ar"/>
        </w:rPr>
        <w:t>文字大小：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"http://www.fjxp.gov.cn/openness/detail/content/javascript:doZoom(18)"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6"/>
          <w:rFonts w:hint="eastAsia" w:ascii="微软雅黑" w:hAnsi="微软雅黑" w:eastAsia="微软雅黑" w:cs="微软雅黑"/>
          <w:b w:val="0"/>
          <w:i w:val="0"/>
          <w:caps w:val="0"/>
          <w:color w:val="999999"/>
          <w:spacing w:val="0"/>
          <w:sz w:val="18"/>
          <w:szCs w:val="18"/>
          <w:u w:val="none"/>
          <w:shd w:val="clear" w:fill="FFFFFF"/>
        </w:rPr>
        <w:t>大</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"http://www.fjxp.gov.cn/openness/detail/content/javascript:doZoom(14)"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6"/>
          <w:rFonts w:hint="eastAsia" w:ascii="微软雅黑" w:hAnsi="微软雅黑" w:eastAsia="微软雅黑" w:cs="微软雅黑"/>
          <w:b w:val="0"/>
          <w:i w:val="0"/>
          <w:caps w:val="0"/>
          <w:color w:val="999999"/>
          <w:spacing w:val="0"/>
          <w:sz w:val="18"/>
          <w:szCs w:val="18"/>
          <w:u w:val="none"/>
          <w:shd w:val="clear" w:fill="FFFFFF"/>
        </w:rPr>
        <w:t>中</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999999"/>
          <w:spacing w:val="0"/>
          <w:kern w:val="0"/>
          <w:sz w:val="18"/>
          <w:szCs w:val="18"/>
          <w:shd w:val="clear" w:fill="FFFFFF"/>
          <w:lang w:val="en-US" w:eastAsia="zh-CN" w:bidi="ar"/>
        </w:rPr>
        <w:t> </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instrText xml:space="preserve"> HYPERLINK "http://www.fjxp.gov.cn/openness/detail/content/javascript:doZoom(12)" </w:instrTex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separate"/>
      </w:r>
      <w:r>
        <w:rPr>
          <w:rStyle w:val="6"/>
          <w:rFonts w:hint="eastAsia" w:ascii="微软雅黑" w:hAnsi="微软雅黑" w:eastAsia="微软雅黑" w:cs="微软雅黑"/>
          <w:b w:val="0"/>
          <w:i w:val="0"/>
          <w:caps w:val="0"/>
          <w:color w:val="999999"/>
          <w:spacing w:val="0"/>
          <w:sz w:val="18"/>
          <w:szCs w:val="18"/>
          <w:u w:val="none"/>
          <w:shd w:val="clear" w:fill="FFFFFF"/>
        </w:rPr>
        <w:t>小</w:t>
      </w:r>
      <w:r>
        <w:rPr>
          <w:rFonts w:hint="eastAsia" w:ascii="微软雅黑" w:hAnsi="微软雅黑" w:eastAsia="微软雅黑" w:cs="微软雅黑"/>
          <w:b w:val="0"/>
          <w:i w:val="0"/>
          <w:caps w:val="0"/>
          <w:color w:val="999999"/>
          <w:spacing w:val="0"/>
          <w:kern w:val="0"/>
          <w:sz w:val="18"/>
          <w:szCs w:val="18"/>
          <w:u w:val="none"/>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霞政办〔2017〕178号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Style w:val="5"/>
          <w:rFonts w:hint="eastAsia" w:ascii="微软雅黑" w:hAnsi="微软雅黑" w:eastAsia="微软雅黑" w:cs="微软雅黑"/>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霞浦县人民政府办公室关于印发霞浦县新型职业农民认定管理和扶持办法（试行）的通知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各乡镇人民政府、街道办事处，县直有关部门：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经县政府同意，现将《霞浦县新型职业农民认定管理和扶持办法》（试行）印发给你们，请结合实际，认真组织实施。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霞浦县人民政府办公室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2017年10 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霞浦县新型职业农民认定管理和扶持办法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第一条 为大力培育一批有文化、懂技术、会经营的新型职业农民，解决“谁来种地、如何种好地”的问题，加速推动我县农业现代化发展、美丽乡村建设和农民增收，实现富民强县的目标,根据农业部《关于统筹开展新型职业农民和农村实用人才认定工作的通知》（农人发〔2015〕3号)和省农业厅等7部门《关于印发&lt;福建省新型职业农民认定管理和扶持办法（试行）&gt;通知》（闽农科教〔2015〕215号）等文件精神，结合我县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第二条 新型职业农民是指以农业生产为职业，具有较高专业技能，收入主要来自农业且达到一定水平的现代农业从业者及农业专业大中专毕生返乡创业者。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第三条 新型职业农民分为生产经营型、专业技能型和专业服务型三类。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（一）生产经营型职业农民，主要是指种养大户、家庭农场主、农民专业合作社骨干等。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（二）专业技能型职业农民，主要是指在农民专业合作社、家庭农场、农业企业等新型生产经营主体中较为稳定地从事农业劳动的农业职业经理人、农业工人、农业雇员等。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（三）专业服务型职业农民，主要是指从事农业产前、产中、产后服务的农民技术员、动植物防疫员、农村信息员、农机手、农村经纪人等。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第四条 新型职业农民资格认定遵循公平、公开和农民自愿原则。我县新型职业农民应具备以下基本条件：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（一）遵纪守法，具有农产品安全生产意识，无违反职业道德行为；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（二）劳动力年龄（18 - 60周岁），身体健康，有劳动能力；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（三）在本县区域内从事农业生产经营且达到一定的规模或从事农业职业技能报务，收入主要来自农业的从业者。          种养业从业者的经营规模要符合以下标准：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1．种植业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(1)粮食作物类种植1 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(2)果树种植面积2 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(3)蔬菜种植面积1 0亩以上（设施大棚蔬菜种植面积5亩以上）：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(4)中药材种植面积20亩以上；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(5)茶叶种植面积1 5亩以上。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(6)花卉种植面积1 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(7)油茶等经济林种植面积50亩以上；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(8)毛竹种植面积5 0亩或用材林种植200亩以上。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2．养殖业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(1)生猪年存栏200头以上；羊年存栏50头以上；鸡、鸭、鹅年存栏200只以上；畜禽养殖需取得动物防疫条件合格证和环评证书。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(2)水产养殖面积1 0亩以上。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（四）获得以下证书之一：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1．国家农业职业资格初级以上证书；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2．涉农专业中专以上毕业证书。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第五条认定程序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一）坚持个人申请的原则，符合以上条件的从业者，可到所在乡镇（街道）农技站、兽医站、水技站、林业站领取《霞浦县新型职业农民资格认定申请表》（见附件）一式三份，填好后连同身份证复印件、相关证书或文件原件复印件报送所在乡镇（街道）相关业务站，再由相关业务站汇总审核后报送县级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二）县农业局（农办）、林业局、海洋渔业局对提出申请的农民进行资格审核，对符合条件的按生产经营型、专业技能型和专业服务型分类汇总后报县农业局（农办），统一建档立卡，并向社会进行公示，接受社会监督，经公示无异议后，予以公布，同时报市农业局（农办）和省农业厅（省委农办）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第六条 对认定的新型职业农民颁发证书，作为享受扶持政策的有效凭证。证书采用农业部统一证书式样，由县政府或授权县农业局（农办）颁发和管理。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第七条 对认定的新型职业农民实行动态管理，被认定为新型职业农民的，优先推荐享受各级各部门出台的相关扶持政策，接受各乡镇（街道）和有关部门的服务管理。有以下情形之一的，取消新型职业农民资格，不再享受相关的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（一）有违法行为和不诚信行为的；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（二）发生农产品质量安全事件的；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（三）不再从事农业生产经营的；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（四）不接受新型职业农民认定管理服务的。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第八条 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（一）资金支持。优先享受政府已出台的土地流转、农资、农机等农业补贴政策向新型职业农民倾斜。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（二）信贷支持。加大对符合条件的新型职业农民的信贷支持力度，凡属农业生产经营领域和环节的，扩大其信誉担保范围，适当提高其贷款风险容忍度。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（三）教育培训。对于符合条件的、优秀的新型职业农民，由县选派，进入大中专院校进行免费学习培训。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（四）项目支持。对符合条件的新型职业农民，优先申报承担涉农项目，组建专业合作社的可以优先申报省、市示范社评先评优。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（五）评优奖励。被评为优秀的新型职业农民给予适当的资金奖励。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（六）品牌认证。产业或产品取得品牌认证的，凭认证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证书等有关材料给予一定的奖励。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第九条 县农业局（农办）负责组织指导全县新型职业农民的认定管理、跟踪服务和政策扶持等工作。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第十条 本办法由县农业局（农办）负责解释。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附件：霞浦县新型农民认定申请表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霞浦县新型职业农民认定申请表</w:t>
      </w:r>
    </w:p>
    <w:tbl>
      <w:tblPr>
        <w:tblW w:w="16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716"/>
        <w:gridCol w:w="572"/>
        <w:gridCol w:w="1911"/>
        <w:gridCol w:w="1210"/>
        <w:gridCol w:w="1070"/>
        <w:gridCol w:w="1210"/>
        <w:gridCol w:w="1911"/>
        <w:gridCol w:w="1631"/>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姓 名</w:t>
            </w:r>
          </w:p>
        </w:tc>
        <w:tc>
          <w:tcPr>
            <w:tcW w:w="2483" w:type="dxa"/>
            <w:gridSpan w:val="2"/>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21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性 别</w:t>
            </w:r>
          </w:p>
        </w:tc>
        <w:tc>
          <w:tcPr>
            <w:tcW w:w="107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21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民 族</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63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出生年月</w:t>
            </w:r>
          </w:p>
        </w:tc>
        <w:tc>
          <w:tcPr>
            <w:tcW w:w="1948"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住 址</w:t>
            </w:r>
          </w:p>
        </w:tc>
        <w:tc>
          <w:tcPr>
            <w:tcW w:w="5973" w:type="dxa"/>
            <w:gridSpan w:val="5"/>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乡(镇)          村(居)        组</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身份证号码</w:t>
            </w:r>
          </w:p>
        </w:tc>
        <w:tc>
          <w:tcPr>
            <w:tcW w:w="163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948"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籍 贯</w:t>
            </w:r>
          </w:p>
        </w:tc>
        <w:tc>
          <w:tcPr>
            <w:tcW w:w="572"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(手机)号码</w:t>
            </w:r>
          </w:p>
        </w:tc>
        <w:tc>
          <w:tcPr>
            <w:tcW w:w="2280" w:type="dxa"/>
            <w:gridSpan w:val="2"/>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21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面貌</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63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经营产业</w:t>
            </w:r>
          </w:p>
        </w:tc>
        <w:tc>
          <w:tcPr>
            <w:tcW w:w="1948"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是否属“计生三户”</w:t>
            </w:r>
          </w:p>
        </w:tc>
        <w:tc>
          <w:tcPr>
            <w:tcW w:w="572"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是否属扶贫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对象</w:t>
            </w:r>
          </w:p>
        </w:tc>
        <w:tc>
          <w:tcPr>
            <w:tcW w:w="121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07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程度</w:t>
            </w:r>
          </w:p>
        </w:tc>
        <w:tc>
          <w:tcPr>
            <w:tcW w:w="1210"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c>
          <w:tcPr>
            <w:tcW w:w="1911"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规模</w:t>
            </w:r>
          </w:p>
        </w:tc>
        <w:tc>
          <w:tcPr>
            <w:tcW w:w="3579" w:type="dxa"/>
            <w:gridSpan w:val="2"/>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年纯收入(万元)：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乡(镇)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业务部门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意见</w:t>
            </w:r>
          </w:p>
        </w:tc>
        <w:tc>
          <w:tcPr>
            <w:tcW w:w="11463" w:type="dxa"/>
            <w:gridSpan w:val="8"/>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县级业务主管部门意见</w:t>
            </w:r>
          </w:p>
        </w:tc>
        <w:tc>
          <w:tcPr>
            <w:tcW w:w="11463" w:type="dxa"/>
            <w:gridSpan w:val="8"/>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县农业局(农办)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意见</w:t>
            </w:r>
          </w:p>
        </w:tc>
        <w:tc>
          <w:tcPr>
            <w:tcW w:w="11463" w:type="dxa"/>
            <w:gridSpan w:val="8"/>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县新型职业农民培育工作领导小组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意见</w:t>
            </w:r>
          </w:p>
        </w:tc>
        <w:tc>
          <w:tcPr>
            <w:tcW w:w="11463" w:type="dxa"/>
            <w:gridSpan w:val="8"/>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16" w:type="dxa"/>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发证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编号</w:t>
            </w:r>
          </w:p>
        </w:tc>
        <w:tc>
          <w:tcPr>
            <w:tcW w:w="11463" w:type="dxa"/>
            <w:gridSpan w:val="8"/>
            <w:tcBorders>
              <w:top w:val="single" w:color="CCCCCC" w:sz="6" w:space="0"/>
              <w:left w:val="single" w:color="CCCCCC" w:sz="6" w:space="0"/>
              <w:bottom w:val="single" w:color="CCCCCC" w:sz="6" w:space="0"/>
              <w:right w:val="single" w:color="CCCCCC"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pPr>
            <w:r>
              <w:rPr>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抄送：市农业局。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firstLine="420"/>
      </w:pPr>
      <w:r>
        <w:rPr>
          <w:rFonts w:hint="eastAsia" w:ascii="微软雅黑" w:hAnsi="微软雅黑" w:eastAsia="微软雅黑" w:cs="微软雅黑"/>
          <w:b w:val="0"/>
          <w:i w:val="0"/>
          <w:caps w:val="0"/>
          <w:color w:val="333333"/>
          <w:spacing w:val="0"/>
          <w:sz w:val="24"/>
          <w:szCs w:val="24"/>
          <w:bdr w:val="none" w:color="auto" w:sz="0" w:space="0"/>
          <w:shd w:val="clear" w:fill="FFFFFF"/>
        </w:rPr>
        <w:t>霞浦县人民政府办公室                  2017年10月26日印发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16120"/>
    <w:rsid w:val="611161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2018-06-06T07:22:00Z</dcterms:created>
  <dc:creator>lenovo</dc:creator>
  <cp:lastModifiedBy>lenovo</cp:lastModifiedBy>
  <dcterms:modified xsi:type="dcterms:W3CDTF">2018-06-06T07:23:04Z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