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F312A" w14:textId="77777777" w:rsidR="00212B4A" w:rsidRPr="00212B4A" w:rsidRDefault="00212B4A" w:rsidP="00212B4A">
      <w:pPr>
        <w:widowControl/>
        <w:spacing w:line="540" w:lineRule="atLeast"/>
        <w:jc w:val="center"/>
        <w:outlineLvl w:val="2"/>
        <w:rPr>
          <w:rFonts w:ascii="微软雅黑" w:eastAsia="微软雅黑" w:hAnsi="微软雅黑" w:cs="宋体"/>
          <w:color w:val="3180C7"/>
          <w:kern w:val="0"/>
          <w:sz w:val="39"/>
          <w:szCs w:val="39"/>
        </w:rPr>
      </w:pPr>
      <w:bookmarkStart w:id="0" w:name="_GoBack"/>
      <w:r w:rsidRPr="00212B4A">
        <w:rPr>
          <w:rFonts w:ascii="微软雅黑" w:eastAsia="微软雅黑" w:hAnsi="微软雅黑" w:cs="宋体" w:hint="eastAsia"/>
          <w:color w:val="3180C7"/>
          <w:kern w:val="0"/>
          <w:sz w:val="39"/>
          <w:szCs w:val="39"/>
        </w:rPr>
        <w:t>关于印发珠海市知识产权优势企业培育和认定工作方案的通知</w:t>
      </w:r>
    </w:p>
    <w:bookmarkEnd w:id="0"/>
    <w:p w14:paraId="2B9E03EE" w14:textId="77777777" w:rsidR="00212B4A" w:rsidRPr="00212B4A" w:rsidRDefault="00212B4A" w:rsidP="00212B4A">
      <w:pPr>
        <w:widowControl/>
        <w:spacing w:line="390" w:lineRule="atLeast"/>
        <w:jc w:val="center"/>
        <w:rPr>
          <w:rFonts w:ascii="微软雅黑" w:eastAsia="微软雅黑" w:hAnsi="微软雅黑" w:cs="宋体" w:hint="eastAsia"/>
          <w:color w:val="5B5B5B"/>
          <w:kern w:val="0"/>
          <w:sz w:val="18"/>
          <w:szCs w:val="18"/>
        </w:rPr>
      </w:pPr>
      <w:r w:rsidRPr="00212B4A">
        <w:rPr>
          <w:rFonts w:ascii="微软雅黑" w:eastAsia="微软雅黑" w:hAnsi="微软雅黑" w:cs="宋体" w:hint="eastAsia"/>
          <w:color w:val="3180C7"/>
          <w:kern w:val="0"/>
          <w:sz w:val="39"/>
          <w:szCs w:val="39"/>
        </w:rPr>
        <w:pict w14:anchorId="5F2CCD5C"/>
      </w:r>
      <w:r w:rsidRPr="00212B4A">
        <w:rPr>
          <w:rFonts w:ascii="微软雅黑" w:eastAsia="微软雅黑" w:hAnsi="微软雅黑" w:cs="宋体" w:hint="eastAsia"/>
          <w:color w:val="5B5B5B"/>
          <w:kern w:val="0"/>
          <w:sz w:val="18"/>
          <w:szCs w:val="18"/>
        </w:rPr>
        <w:t>来源:本网站     发布日期：2018-07-12</w:t>
      </w:r>
    </w:p>
    <w:p w14:paraId="68099BF9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                            </w:t>
      </w:r>
      <w:r w:rsidRPr="00212B4A">
        <w:rPr>
          <w:rFonts w:ascii="Calibri" w:eastAsia="黑体" w:hAnsi="Calibri" w:cs="Calibri"/>
          <w:color w:val="333333"/>
          <w:kern w:val="0"/>
          <w:sz w:val="28"/>
          <w:szCs w:val="28"/>
        </w:rPr>
        <w:t>         </w:t>
      </w:r>
      <w:r w:rsidRPr="00212B4A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ZBGS—2018—30</w:t>
      </w:r>
    </w:p>
    <w:p w14:paraId="53B1897B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</w:p>
    <w:p w14:paraId="5CF40E58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</w:p>
    <w:p w14:paraId="19D73DEE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</w:p>
    <w:p w14:paraId="716FA5E1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关于印发珠海市知识产权优势企业培育和认定工作方案的通知</w:t>
      </w:r>
    </w:p>
    <w:p w14:paraId="633BA172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6"/>
          <w:szCs w:val="36"/>
        </w:rPr>
        <w:t> </w:t>
      </w:r>
    </w:p>
    <w:p w14:paraId="01AD843C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横琴新区、各区（经济功能区）知识产权管理部门，各有关单位：</w:t>
      </w:r>
    </w:p>
    <w:p w14:paraId="78B6A1E6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为规范珠海市知识产权优势企业培育和认定工作，现印发《珠海市知识产权优势企业培育和认定工作方案》，请遵照执行。执行过程中如遇问题，请</w:t>
      </w:r>
      <w:proofErr w:type="gramStart"/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径向市</w:t>
      </w:r>
      <w:proofErr w:type="gramEnd"/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知识产权局反映。</w:t>
      </w:r>
    </w:p>
    <w:p w14:paraId="116DE5ED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特此通知。</w:t>
      </w:r>
    </w:p>
    <w:p w14:paraId="401A78C2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6"/>
          <w:szCs w:val="36"/>
        </w:rPr>
        <w:lastRenderedPageBreak/>
        <w:t> </w:t>
      </w:r>
    </w:p>
    <w:p w14:paraId="52978524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19DB87AD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附件：珠海市知识产权优势企业培育和认定工作方案</w:t>
      </w:r>
    </w:p>
    <w:p w14:paraId="15F0CA46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518C8B69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 </w:t>
      </w:r>
    </w:p>
    <w:p w14:paraId="17CD2CE3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2018年6月26日</w:t>
      </w:r>
    </w:p>
    <w:p w14:paraId="353FCFF7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6C1A05DA" w14:textId="77777777" w:rsidR="00212B4A" w:rsidRPr="00212B4A" w:rsidRDefault="00212B4A" w:rsidP="00212B4A">
      <w:pPr>
        <w:widowControl/>
        <w:spacing w:before="100" w:beforeAutospacing="1" w:after="100" w:afterAutospacing="1" w:line="60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（联系人：权超，联系电话：2222653）</w:t>
      </w:r>
    </w:p>
    <w:p w14:paraId="3D5F7534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12203338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7859B153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23F4B005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</w:t>
      </w:r>
    </w:p>
    <w:p w14:paraId="7D1174D2" w14:textId="77777777" w:rsidR="00212B4A" w:rsidRPr="00212B4A" w:rsidRDefault="00212B4A" w:rsidP="00212B4A">
      <w:pPr>
        <w:widowControl/>
        <w:spacing w:before="100" w:beforeAutospacing="1" w:after="100" w:afterAutospacing="1" w:line="2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珠海市知识产权优势企业培育和认定</w:t>
      </w:r>
    </w:p>
    <w:p w14:paraId="21BBA7A8" w14:textId="77777777" w:rsidR="00212B4A" w:rsidRPr="00212B4A" w:rsidRDefault="00212B4A" w:rsidP="00212B4A">
      <w:pPr>
        <w:widowControl/>
        <w:spacing w:before="100" w:beforeAutospacing="1" w:after="100" w:afterAutospacing="1" w:line="2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工作方案 </w:t>
      </w:r>
    </w:p>
    <w:p w14:paraId="371BAC2D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br/>
        <w:t xml:space="preserve">　  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一、指导思想及培育目的 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212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   </w:t>
      </w: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为实施知识产权战略，推进知识产权强市建设和打造粤港澳大湾区知识产权高地，进一步推动我市企业知识产权工作深入开展，提高企业运用知识产权制度的水平，增强企业的自主创新能力和核心竞争力，规范知识产权优势企业认定工作，特制定本方案。</w:t>
      </w:r>
    </w:p>
    <w:p w14:paraId="3BA91383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二、培育内容 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市知识产权局每年认定不超过10家的支柱行业的骨干企业进行重点培育。培育工作的内容主要包括以下几个方面：</w:t>
      </w:r>
    </w:p>
    <w:p w14:paraId="605E6846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（一）建立健全企业知识产权工作体系和管理制度，使企业知识产权工作向规范化、制度化方向发展。</w:t>
      </w:r>
    </w:p>
    <w:p w14:paraId="20D31D8C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（二）加强企业的知识产权宣传和培训工作，增强企业知识产权意识，培养知识产权人才，提高企业知识产权保护水平。</w:t>
      </w:r>
    </w:p>
    <w:p w14:paraId="5E214EB6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（三）加强企业专利信息化建设，提高企业运用专利信息的能力和水平。</w:t>
      </w:r>
    </w:p>
    <w:p w14:paraId="3ED58791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（四）引导企业建立促进技术创新的激励机制，激发员工发明创造积极性，提高企业自主知识产权尤其是专利的拥有量和质量。</w:t>
      </w:r>
    </w:p>
    <w:p w14:paraId="20BE8B49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（五）加快专利技术转化及产业化，不断提高拥有自主知识产权产品的比重。</w:t>
      </w:r>
    </w:p>
    <w:p w14:paraId="48F23F8B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（六）引导企业研究和运用专利战略，把专利战略纳入企业经营管理总体战略之中，推动企业实现可持续发展。</w:t>
      </w:r>
    </w:p>
    <w:p w14:paraId="107C910A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（七）加强企业对知识产权的管理和运营，充分发挥知识产权在企业开拓市场和提高经营效益方面的作用。</w:t>
      </w:r>
    </w:p>
    <w:p w14:paraId="15D4E26F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（八）引导企业加大知识产权投入，确保知识产权申请、维护、诉讼、信息利用、专利技术实施、培训和奖励等工作的顺利开展。 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三、扶持措施 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　（一）在同等条件下，优先推荐企业的专利技术项目参加各级专利奖评选；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　（二）在同等条件下，优先推荐企业的专利技术项目列入省专利技术实施计划；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　（三）市知识产权管理部门对企业在知识产权制度建设、知识产权战略的制定和运用、专利数据库建设等方面，优先提供指导和服务； 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　（四）市各职能部门对企业开展专利维</w:t>
      </w:r>
      <w:proofErr w:type="gramStart"/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权活动</w:t>
      </w:r>
      <w:proofErr w:type="gramEnd"/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予以重点支持。 </w:t>
      </w:r>
    </w:p>
    <w:p w14:paraId="22FF7FD6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（五）新认定的市级知识产权优势企业，按照《珠海市专利促进专项资金管理办法》相关规定给予相应奖励。</w:t>
      </w:r>
      <w:r w:rsidRPr="00212B4A">
        <w:rPr>
          <w:rFonts w:ascii="仿宋_GB2312" w:eastAsia="仿宋_GB2312" w:hAnsi="微软雅黑" w:cs="宋体" w:hint="eastAsia"/>
          <w:color w:val="0000FF"/>
          <w:kern w:val="0"/>
          <w:sz w:val="32"/>
          <w:szCs w:val="32"/>
        </w:rPr>
        <w:br/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四、申报条件 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（一）企业领导高度重视知识产权工作，有一名领导分管。</w:t>
      </w:r>
    </w:p>
    <w:p w14:paraId="3ED80178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（二）企业设有知识产权工作机构，配备专（兼）职工作人员。</w:t>
      </w:r>
    </w:p>
    <w:p w14:paraId="7FBD326E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（三）企业有完善的知识产权管理制度。</w:t>
      </w:r>
    </w:p>
    <w:p w14:paraId="18449E00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（四）企业拥有有效专利总数30件以上，其中有效发明专利和实用新型专利总数20件以上。</w:t>
      </w:r>
    </w:p>
    <w:p w14:paraId="1B6E192E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（五）企业知识产权保护意识较强，近两年无制造和销售假冒产品，无行政和司法程序认定的侵犯知识产权行为。 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　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五、申报及考核程序 　 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企业在珠海市财政专项资金申报和管理平台进行申报和考核。打开网络浏览器，输入http://ywgl.zhcz.gov.cn（珠海市财政专项资金申报和管理平台），登录后--点击“填写申请书”--点击“新增项目申请”--点击“珠海市”，在科工信局下面选择“创新驱动专项（科技类）”，按有关提示进行操作（新申报企业选择“知识产</w:t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权优势企业认定项目”，考核企业选择“知识产权优势企业考核项目”），无需提交纸质件。</w:t>
      </w:r>
    </w:p>
    <w:p w14:paraId="69C8AF82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网上申报和考核时间以市知识产权局每年发布通知为准，逾期不再受理。</w:t>
      </w:r>
    </w:p>
    <w:p w14:paraId="5301F819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六、认定及考核 </w:t>
      </w:r>
      <w:r w:rsidRPr="00212B4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（一）企业在珠海市财政资金申报和管理平台提交申报后，由市知识产权保护协会进行初步审查。</w:t>
      </w:r>
    </w:p>
    <w:p w14:paraId="0D97CA2D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初审合格后，市知识产权局按照专家评审制度，组建由相关专业人士组成的专家组，开展评审工作。与被评审单位有直接关系的专家组成员应回避。评审专家必须遵守有关的评审制度，并对有关企业的相关材料承担保密义务。认定和考核程序接受市知识产权局机关党委的监督。</w:t>
      </w:r>
    </w:p>
    <w:p w14:paraId="1333D3D4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（三）专家组对申报材料进行评议，必要时可对申报单位进行实地考察或要求申报单位进行陈述和答辩。</w:t>
      </w:r>
    </w:p>
    <w:p w14:paraId="46521753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市知识产权局局办公会议根据专家组的评议意见，讨论确定市知识产权优势企业名单和通过考核企业名单并公示。认定企业名单确定后，市知识产权局下达批准文件，并向被确定企业颁发“珠海市知识产权优势企业”牌匾。</w:t>
      </w:r>
    </w:p>
    <w:p w14:paraId="5655A48A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（五）市知识产权局每3年组织一次对知识产权优势企业的考核。考核结果分为合格、限期一年整改和取消资格三种。考核成绩60分以上为合格、60分以下为不合格。</w:t>
      </w:r>
    </w:p>
    <w:p w14:paraId="2E9636B9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六）考核成绩合格的保留“珠海市知识产权优势企业”的称号；考核成绩不合格的限期一年整改或取消“珠海市知识产权优势企业”资格；取消“珠海市知识产权优势企业”资格后，五年内不受理该企业重新申报认定的申请。</w:t>
      </w:r>
    </w:p>
    <w:p w14:paraId="53BE22F5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（七）近两年有制造和销售假冒产品，或有行政、司法程序认定的侵犯知识产权行为的限期一年整改；整改不合格的，取消“珠海市知识产权优势企业”资格，并五年内不受理该企业重新申报认定的申请。</w:t>
      </w:r>
    </w:p>
    <w:p w14:paraId="40500358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（八）没按规定时间提交考核资料的企业，取消“珠海市知识产权优势企业”资格，并五年内不受理该企业重新申报认定的申请。</w:t>
      </w:r>
    </w:p>
    <w:p w14:paraId="589D27DA" w14:textId="77777777" w:rsidR="00212B4A" w:rsidRPr="00212B4A" w:rsidRDefault="00212B4A" w:rsidP="00212B4A">
      <w:pPr>
        <w:widowControl/>
        <w:spacing w:before="100" w:beforeAutospacing="1" w:after="100" w:afterAutospacing="1" w:line="450" w:lineRule="atLeast"/>
        <w:ind w:firstLine="614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2B4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七、附则</w:t>
      </w:r>
    </w:p>
    <w:p w14:paraId="6AECA335" w14:textId="200EAAB7" w:rsidR="00A14E2A" w:rsidRDefault="00212B4A" w:rsidP="00212B4A">
      <w:r w:rsidRPr="00212B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本方案由珠海市知识产权局负责解释，自2018年8月1日起实施，有效期5年。</w:t>
      </w:r>
    </w:p>
    <w:sectPr w:rsidR="00A1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32"/>
    <w:rsid w:val="00212B4A"/>
    <w:rsid w:val="003D5032"/>
    <w:rsid w:val="00A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CA587-AD33-4D65-AB16-8D7068D0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2018-11-15T06:10:00Z</dcterms:created>
  <dcterms:modified xsi:type="dcterms:W3CDTF">2018-11-15T06:11:00Z</dcterms:modified>
</cp:coreProperties>
</file>