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C6" w:rsidRPr="00C80CC6" w:rsidRDefault="00C80CC6" w:rsidP="00C80CC6">
      <w:pPr>
        <w:widowControl/>
        <w:shd w:val="clear" w:color="auto" w:fill="FFFFFF"/>
        <w:spacing w:line="5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渝文备〔2014〕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354号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bookmarkStart w:id="0" w:name="_GoBack"/>
      <w:r w:rsidRPr="00C80CC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重庆市</w:t>
      </w:r>
      <w:proofErr w:type="gramStart"/>
      <w:r w:rsidRPr="00C80CC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渝</w:t>
      </w:r>
      <w:proofErr w:type="gramEnd"/>
      <w:r w:rsidRPr="00C80CC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北区人民政府办公室关于促进金融业发展扶持政策的通知</w:t>
      </w:r>
    </w:p>
    <w:p w:rsidR="00C80CC6" w:rsidRPr="00C80CC6" w:rsidRDefault="00C80CC6" w:rsidP="00C80CC6">
      <w:pPr>
        <w:widowControl/>
        <w:shd w:val="clear" w:color="auto" w:fill="FFFFFF"/>
        <w:spacing w:line="5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bookmarkEnd w:id="0"/>
    <w:p w:rsidR="00C80CC6" w:rsidRPr="00C80CC6" w:rsidRDefault="00C80CC6" w:rsidP="00C80CC6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渝北府办发〔2014〕26号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各镇人民政府，区政府各部门，各街道办事处，各园区（新城、风景区）管委会，有关单位：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为促进全区金融业进一步加快发展，加快建设重庆主城金融次中心和全市新型金融机构发展基地，根据市政府办公厅《关于进一步规范金融核心区建设扶持政策的通知》（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渝府办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发〔2014〕17号）和市政府办公厅《关于转发重庆市金融业发展激励政策实施细则的通知》（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渝办发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〔2007〕183号）文件精神，结合我区实际，现将有关事宜通知如下：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</w:t>
      </w:r>
      <w:r w:rsidRPr="00C80CC6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C80CC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一、扶持对象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在我区新成立或从市外迁入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北区（不含北部新区、保税港区、龙石工业园、国博中心，下同），经国家金融监管部门批准，工商和税务注册登记在渝北区且具有独立法人资格的金融机构、直接隶属于法人机构的地区性总部和金融中介公司（以下统称为“金融机构”）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二、扶持政策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办公用房补贴。对新入驻的金融机构在我区首次购置（购地新建）办公用房按建筑面积一次性给予每平方米1000元人民币的购房补贴，补贴总额最高不超过300万元（新型金融机构不超过100万元）。对租赁自用办公用房的，按年租金的20%给予补贴，每年补贴总额最高不超过50万元（新型金融机</w:t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构不超过30万元），补贴3年。享受补贴的企业5年内不得将房屋对外转租、出售，补贴资金在企业正常经营1年后兑付。采取先租后买的方式不得重复享受。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（二）产业发展扶持。对落户的金融机构从开办之日起3年内，分别按其当年入库营业税、企业所得税区级实得部分的80%、60%、40%给予产业发展扶持。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高管人员奖励。对金融机构高级管理人员（副总经理以上，含财务负责人）在我区首次购买商品住房（房价300万元以内）缴纳的契税实行等额补贴。同时，对贡献突出的金融机构高级管理人员，3年内给予适当的特别贡献奖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（四）一次性落户奖。若金融机构符合《重庆市金融业发展激励政策实施细则》（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渝办发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〔2007〕183号），由区金融办、区财政局积极配合企业向市里争取一次性落户奖励。新引进的支付结算机构、金融保理、信用评级等法人金融中介服务机构和金融后台服务机构，经区金融办、区财政局按其注册资本、创新能力和行业特点等因素进行综合评定后，适当给予落户奖励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（五）其他。对重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要金融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机构和对渝北区经济社会发展中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作出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突出贡献的金融机构，可实行“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企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策”、“一事一议”的扶持政策。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三、办理程序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财政扶持按年计算拨付，符合条件的企业应于次年的3月底以前向区金融办申报，并提供以下资料：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（一）书面申请；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（二）区级税务部门关于纳税情况的证明；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（三）购置（租赁）办公用房合同；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（四）企业工商和税务注册登记手续，开户银行、账号。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（五）其他相关资料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区金融办会同区财政局审核并提出初步意见，报区政府审批后按程序兑付。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四、其他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对同时享受多个扶持政策的企业，按照就高不就低的原则办理，不得重复享受。当年享受政策扶持或奖励时间不足6个月的（以工商注册登记时间为准），以下年为第一年计算兑现；当年享受政策扶持或奖励时间超过6个月不足一年的，以当年为第一年计算兑现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（二）享受扶持的企业应在我区持续经营10年以上。对无特</w:t>
      </w:r>
      <w:r w:rsidRPr="00C80CC6">
        <w:rPr>
          <w:rFonts w:ascii="宋体" w:eastAsia="宋体" w:hAnsi="宋体" w:cs="Times New Roman" w:hint="eastAsia"/>
          <w:color w:val="000000"/>
          <w:spacing w:val="-6"/>
          <w:kern w:val="0"/>
          <w:sz w:val="24"/>
          <w:szCs w:val="24"/>
        </w:rPr>
        <w:t>殊原因经营期不满10年提前歇业关闭、注销税务登记移往区外的，要</w:t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追回已享受的扶持资金。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1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（三）对采取欺诈手段骗取或套取产业扶持资金的企业，按照《财政违法行为处罚处分条例》（国务院令第427号）进行处理，触犯刑律的移交司法机关依法处置。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1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（四）</w:t>
      </w:r>
      <w:r w:rsidRPr="00C80CC6">
        <w:rPr>
          <w:rFonts w:ascii="宋体" w:eastAsia="宋体" w:hAnsi="宋体" w:cs="Times New Roman" w:hint="eastAsia"/>
          <w:color w:val="000000"/>
          <w:spacing w:val="-4"/>
          <w:kern w:val="0"/>
          <w:sz w:val="24"/>
          <w:szCs w:val="24"/>
        </w:rPr>
        <w:t>本通知自2014年1月1日起执行，原有规定与本通知不符的，以本通知为准。本通知由区金融办、区财政局负责解释。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ind w:right="840" w:firstLine="64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重庆市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北区人民政府办公室</w:t>
      </w:r>
      <w:r w:rsidRPr="00C80C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2014年</w:t>
      </w:r>
      <w:r w:rsidRPr="00C80C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</w:t>
      </w:r>
      <w:r w:rsidRPr="00C80C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spacing w:line="7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C80CC6" w:rsidRPr="00C80CC6" w:rsidRDefault="00C80CC6" w:rsidP="00C80CC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公开方式：</w:t>
      </w: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公开</w:t>
      </w:r>
    </w:p>
    <w:p w:rsidR="00C80CC6" w:rsidRPr="00C80CC6" w:rsidRDefault="00C80CC6" w:rsidP="00C80CC6">
      <w:pPr>
        <w:widowControl/>
        <w:shd w:val="clear" w:color="auto" w:fill="FFFFFF"/>
        <w:spacing w:line="500" w:lineRule="atLeast"/>
        <w:ind w:firstLine="318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重庆市</w:t>
      </w:r>
      <w:proofErr w:type="gramStart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</w:t>
      </w:r>
      <w:proofErr w:type="gramEnd"/>
      <w:r w:rsidRPr="00C80CC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北区人民政府办公室      2014年5月4日印发</w:t>
      </w:r>
    </w:p>
    <w:p w:rsidR="00C80CC6" w:rsidRPr="00C80CC6" w:rsidRDefault="00C80CC6" w:rsidP="00C80CC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80CC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217BC8" w:rsidRPr="00C80CC6" w:rsidRDefault="00217BC8"/>
    <w:sectPr w:rsidR="00217BC8" w:rsidRPr="00C8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C6"/>
    <w:rsid w:val="00217BC8"/>
    <w:rsid w:val="00C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567AD-97E7-4FFB-BF61-EFD7244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80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8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7261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2018-05-05T03:19:00Z</dcterms:created>
  <dcterms:modified xsi:type="dcterms:W3CDTF">2018-05-05T03:20:00Z</dcterms:modified>
</cp:coreProperties>
</file>