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BBF" w:rsidRPr="00201BBF" w:rsidRDefault="00201BBF" w:rsidP="00201BBF">
      <w:pPr>
        <w:widowControl/>
        <w:shd w:val="clear" w:color="auto" w:fill="FFFFFF"/>
        <w:spacing w:line="720" w:lineRule="atLeast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bookmarkStart w:id="0" w:name="OLE_LINK1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                          </w:t>
      </w:r>
      <w:bookmarkEnd w:id="0"/>
      <w:proofErr w:type="gramStart"/>
      <w:r w:rsidRPr="00201BBF">
        <w:rPr>
          <w:rFonts w:ascii="宋体" w:eastAsia="宋体" w:hAnsi="宋体" w:cs="Times New Roman" w:hint="eastAsia"/>
          <w:color w:val="000000"/>
          <w:kern w:val="0"/>
          <w:sz w:val="32"/>
          <w:szCs w:val="32"/>
        </w:rPr>
        <w:t>渝文备〔2018〕</w:t>
      </w:r>
      <w:proofErr w:type="gramEnd"/>
      <w:r w:rsidRPr="00872FE5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7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7号</w:t>
      </w:r>
    </w:p>
    <w:p w:rsidR="00201BBF" w:rsidRPr="00201BBF" w:rsidRDefault="00201BBF" w:rsidP="00872FE5">
      <w:pPr>
        <w:widowControl/>
        <w:shd w:val="clear" w:color="auto" w:fill="FFFFFF"/>
        <w:spacing w:line="720" w:lineRule="atLeast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 </w:t>
      </w:r>
    </w:p>
    <w:p w:rsidR="00201BBF" w:rsidRPr="00201BBF" w:rsidRDefault="00201BBF" w:rsidP="00201BBF">
      <w:pPr>
        <w:widowControl/>
        <w:shd w:val="clear" w:color="auto" w:fill="FFFFFF"/>
        <w:spacing w:line="72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黑体" w:eastAsia="黑体" w:hAnsi="黑体" w:cs="Times New Roman" w:hint="eastAsia"/>
          <w:color w:val="000000"/>
          <w:kern w:val="0"/>
          <w:sz w:val="42"/>
          <w:szCs w:val="42"/>
        </w:rPr>
        <w:t>重庆市武隆区人民政府办公室</w:t>
      </w:r>
    </w:p>
    <w:p w:rsidR="00201BBF" w:rsidRPr="00201BBF" w:rsidRDefault="00201BBF" w:rsidP="00201BBF">
      <w:pPr>
        <w:widowControl/>
        <w:shd w:val="clear" w:color="auto" w:fill="FFFFFF"/>
        <w:spacing w:line="72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黑体" w:eastAsia="黑体" w:hAnsi="黑体" w:cs="Times New Roman" w:hint="eastAsia"/>
          <w:color w:val="000000"/>
          <w:kern w:val="0"/>
          <w:sz w:val="42"/>
          <w:szCs w:val="42"/>
        </w:rPr>
        <w:t>关于印发武隆</w:t>
      </w:r>
      <w:proofErr w:type="gramStart"/>
      <w:r w:rsidRPr="00201BBF">
        <w:rPr>
          <w:rFonts w:ascii="黑体" w:eastAsia="黑体" w:hAnsi="黑体" w:cs="Times New Roman" w:hint="eastAsia"/>
          <w:color w:val="000000"/>
          <w:kern w:val="0"/>
          <w:sz w:val="42"/>
          <w:szCs w:val="42"/>
        </w:rPr>
        <w:t>区品牌</w:t>
      </w:r>
      <w:proofErr w:type="gramEnd"/>
      <w:r w:rsidRPr="00201BBF">
        <w:rPr>
          <w:rFonts w:ascii="黑体" w:eastAsia="黑体" w:hAnsi="黑体" w:cs="Times New Roman" w:hint="eastAsia"/>
          <w:color w:val="000000"/>
          <w:kern w:val="0"/>
          <w:sz w:val="42"/>
          <w:szCs w:val="42"/>
        </w:rPr>
        <w:t>培育和质量提升</w:t>
      </w:r>
    </w:p>
    <w:p w:rsidR="00201BBF" w:rsidRPr="00201BBF" w:rsidRDefault="00201BBF" w:rsidP="00201BBF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黑体" w:eastAsia="黑体" w:hAnsi="黑体" w:cs="Times New Roman" w:hint="eastAsia"/>
          <w:color w:val="000000"/>
          <w:kern w:val="0"/>
          <w:sz w:val="42"/>
          <w:szCs w:val="42"/>
        </w:rPr>
        <w:t>奖励扶持办法的通知</w:t>
      </w:r>
    </w:p>
    <w:p w:rsidR="00201BBF" w:rsidRPr="00201BBF" w:rsidRDefault="00201BBF" w:rsidP="00201BBF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武隆府办发〔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2017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〕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147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号</w:t>
      </w:r>
    </w:p>
    <w:p w:rsidR="00201BBF" w:rsidRPr="00201BBF" w:rsidRDefault="00201BBF" w:rsidP="00201BBF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201BBF" w:rsidRPr="00201BBF" w:rsidRDefault="00201BBF" w:rsidP="00201BBF">
      <w:pPr>
        <w:widowControl/>
        <w:shd w:val="clear" w:color="auto" w:fill="FFFFFF"/>
        <w:spacing w:line="5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各乡镇人民政府，区政府有关部门，有关单位：</w:t>
      </w:r>
    </w:p>
    <w:p w:rsidR="00201BBF" w:rsidRPr="00201BBF" w:rsidRDefault="00201BBF" w:rsidP="00201BBF">
      <w:pPr>
        <w:widowControl/>
        <w:shd w:val="clear" w:color="auto" w:fill="FFFFFF"/>
        <w:spacing w:line="500" w:lineRule="atLeast"/>
        <w:ind w:firstLine="64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《武隆区品牌培育和质量提升奖励扶持办法》已经区政府同意，现印发给你们，请认真贯彻执行。</w:t>
      </w:r>
    </w:p>
    <w:p w:rsidR="00201BBF" w:rsidRPr="00201BBF" w:rsidRDefault="00201BBF" w:rsidP="00201BBF">
      <w:pPr>
        <w:widowControl/>
        <w:shd w:val="clear" w:color="auto" w:fill="FFFFFF"/>
        <w:spacing w:line="500" w:lineRule="atLeast"/>
        <w:ind w:firstLine="64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201BBF" w:rsidRPr="00201BBF" w:rsidRDefault="00201BBF" w:rsidP="00201BBF">
      <w:pPr>
        <w:widowControl/>
        <w:shd w:val="clear" w:color="auto" w:fill="FFFFFF"/>
        <w:spacing w:line="500" w:lineRule="atLeast"/>
        <w:ind w:firstLine="64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201BBF" w:rsidRPr="00201BBF" w:rsidRDefault="00201BBF" w:rsidP="00201BBF">
      <w:pPr>
        <w:widowControl/>
        <w:shd w:val="clear" w:color="auto" w:fill="FFFFFF"/>
        <w:spacing w:line="500" w:lineRule="atLeast"/>
        <w:ind w:right="11" w:firstLine="4186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重庆市武隆区人民政府办公室</w:t>
      </w:r>
    </w:p>
    <w:p w:rsidR="00201BBF" w:rsidRPr="00201BBF" w:rsidRDefault="00201BBF" w:rsidP="00201BBF">
      <w:pPr>
        <w:widowControl/>
        <w:shd w:val="clear" w:color="auto" w:fill="FFFFFF"/>
        <w:spacing w:line="500" w:lineRule="atLeast"/>
        <w:ind w:right="665" w:firstLine="497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2017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年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月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29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日　　</w:t>
      </w:r>
      <w:proofErr w:type="gramStart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　　</w:t>
      </w:r>
      <w:proofErr w:type="gramEnd"/>
    </w:p>
    <w:p w:rsidR="00201BBF" w:rsidRPr="00201BBF" w:rsidRDefault="00201BBF" w:rsidP="00201BBF">
      <w:pPr>
        <w:widowControl/>
        <w:shd w:val="clear" w:color="auto" w:fill="FFFFFF"/>
        <w:spacing w:line="560" w:lineRule="atLeast"/>
        <w:ind w:firstLine="645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（此件公开发布）</w:t>
      </w:r>
    </w:p>
    <w:p w:rsidR="00201BBF" w:rsidRPr="00201BBF" w:rsidRDefault="00201BBF" w:rsidP="00201BB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1BBF">
        <w:rPr>
          <w:rFonts w:ascii="宋体" w:eastAsia="宋体" w:hAnsi="宋体" w:cs="宋体" w:hint="eastAsia"/>
          <w:color w:val="000000"/>
          <w:kern w:val="0"/>
          <w:szCs w:val="21"/>
        </w:rPr>
        <w:br w:type="textWrapping" w:clear="all"/>
      </w:r>
    </w:p>
    <w:p w:rsidR="00201BBF" w:rsidRDefault="00201BBF" w:rsidP="00201BBF">
      <w:pPr>
        <w:widowControl/>
        <w:shd w:val="clear" w:color="auto" w:fill="FFFFFF"/>
        <w:spacing w:line="56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201BBF" w:rsidRDefault="00201BBF" w:rsidP="00201BBF">
      <w:pPr>
        <w:widowControl/>
        <w:shd w:val="clear" w:color="auto" w:fill="FFFFFF"/>
        <w:spacing w:line="56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201BBF" w:rsidRDefault="00201BBF" w:rsidP="00201BBF">
      <w:pPr>
        <w:widowControl/>
        <w:shd w:val="clear" w:color="auto" w:fill="FFFFFF"/>
        <w:spacing w:line="56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201BBF" w:rsidRDefault="00201BBF" w:rsidP="00201BBF">
      <w:pPr>
        <w:widowControl/>
        <w:shd w:val="clear" w:color="auto" w:fill="FFFFFF"/>
        <w:spacing w:line="56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201BBF" w:rsidRDefault="00201BBF" w:rsidP="00201BBF">
      <w:pPr>
        <w:widowControl/>
        <w:shd w:val="clear" w:color="auto" w:fill="FFFFFF"/>
        <w:spacing w:line="560" w:lineRule="atLeast"/>
        <w:ind w:firstLine="64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201BBF" w:rsidRPr="00201BBF" w:rsidRDefault="00201BBF" w:rsidP="00201BBF">
      <w:pPr>
        <w:widowControl/>
        <w:shd w:val="clear" w:color="auto" w:fill="FFFFFF"/>
        <w:spacing w:line="560" w:lineRule="atLeast"/>
        <w:ind w:firstLine="645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201BBF" w:rsidRPr="00201BBF" w:rsidRDefault="00201BBF" w:rsidP="00201BBF">
      <w:pPr>
        <w:widowControl/>
        <w:shd w:val="clear" w:color="auto" w:fill="FFFFFF"/>
        <w:spacing w:line="55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黑体" w:eastAsia="黑体" w:hAnsi="黑体" w:cs="Times New Roman" w:hint="eastAsia"/>
          <w:color w:val="000000"/>
          <w:kern w:val="0"/>
          <w:sz w:val="44"/>
          <w:szCs w:val="44"/>
        </w:rPr>
        <w:t>武隆</w:t>
      </w:r>
      <w:proofErr w:type="gramStart"/>
      <w:r w:rsidRPr="00201BBF">
        <w:rPr>
          <w:rFonts w:ascii="黑体" w:eastAsia="黑体" w:hAnsi="黑体" w:cs="Times New Roman" w:hint="eastAsia"/>
          <w:color w:val="000000"/>
          <w:kern w:val="0"/>
          <w:sz w:val="44"/>
          <w:szCs w:val="44"/>
        </w:rPr>
        <w:t>区品牌</w:t>
      </w:r>
      <w:proofErr w:type="gramEnd"/>
      <w:r w:rsidRPr="00201BBF">
        <w:rPr>
          <w:rFonts w:ascii="黑体" w:eastAsia="黑体" w:hAnsi="黑体" w:cs="Times New Roman" w:hint="eastAsia"/>
          <w:color w:val="000000"/>
          <w:kern w:val="0"/>
          <w:sz w:val="44"/>
          <w:szCs w:val="44"/>
        </w:rPr>
        <w:t>培育和质量提升奖励扶持办法</w:t>
      </w:r>
    </w:p>
    <w:p w:rsidR="00201BBF" w:rsidRPr="00201BBF" w:rsidRDefault="00201BBF" w:rsidP="00201BBF">
      <w:pPr>
        <w:widowControl/>
        <w:shd w:val="clear" w:color="auto" w:fill="FFFFFF"/>
        <w:spacing w:line="55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> 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第一条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为进一步加强全区质量工作，完善政府质量奖励制度，鼓励广大企业大力实施品牌战略和以质取胜战略，提高核心竞争力，促进区域经济发展，根据《国务院质量发展纲要（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2011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—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2020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年）》要求，结合我区实际，制定本办法。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第二条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本办法规定的奖励工作由</w:t>
      </w:r>
      <w:proofErr w:type="gramStart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区质量</w:t>
      </w:r>
      <w:proofErr w:type="gramEnd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品牌建设工作领导小组负责统筹协调，</w:t>
      </w:r>
      <w:proofErr w:type="gramStart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区质量</w:t>
      </w:r>
      <w:proofErr w:type="gramEnd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品牌建设工作领导小组办公室负责具体工作。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第三条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符合下列条件之一的，区政府给予奖励：</w:t>
      </w:r>
    </w:p>
    <w:p w:rsidR="00201BBF" w:rsidRPr="007C6CA5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（一）获得中国质量奖的企业，奖励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300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万元；获得中国质量奖提名奖的企业，奖励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200</w:t>
      </w:r>
      <w:r w:rsidRPr="007C6CA5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万元；获得中国名牌产品的企业，每项奖励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50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万元；获得全国知名品牌示范区，奖励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30</w:t>
      </w:r>
      <w:r w:rsidRPr="007C6CA5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万元；获得“国家地理标志产品保护”的，每项奖励组织者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50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万元。</w:t>
      </w:r>
    </w:p>
    <w:p w:rsidR="00201BBF" w:rsidRPr="007C6CA5" w:rsidRDefault="00201BBF" w:rsidP="00201BBF">
      <w:pPr>
        <w:widowControl/>
        <w:shd w:val="clear" w:color="auto" w:fill="FFFFFF"/>
        <w:spacing w:line="540" w:lineRule="atLeast"/>
        <w:ind w:firstLine="48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（二）获得重庆市市长质量管理奖的企业，奖励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100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万元；获得重庆市市长质量管理奖提名奖的企业，奖励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50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万元；获得“重庆名牌产品”的企业，每项奖励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20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万元；复评获得“重庆名牌产品”的企业，每项奖励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万元；获得“重庆知名产品”的企业，每项奖励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万元；复评获得“重庆知名产品”的企业，每项奖励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5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万元；获得武隆区区长质量管理奖的企业，奖励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30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万元；获得武隆区区长质量管理奖提名奖的企业，奖励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15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万元。</w:t>
      </w:r>
    </w:p>
    <w:p w:rsidR="00201BBF" w:rsidRPr="007C6CA5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（三）获得全国优秀质量管理（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QC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）小组的企业，奖励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5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万元；获得全国质量信得过班组的企业，奖励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5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万元；获得全国质量管理小组活动优秀企业称号的，奖励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5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万元；获得重庆市质量管理小组活动优秀企业的，奖励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3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万元；获得重庆市优秀质量管理（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QC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）小组一、二、三等奖的企业，分别奖励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3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万元、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2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万元、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万元；获得重庆市质量信得过班组的企业，奖励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2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万元；获得重庆市用户“三满意”（满意企业、满意产品、满意服务）的企业，奖励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3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万元；获得重庆市诚信计量示范单位的，奖励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3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万元。</w:t>
      </w:r>
    </w:p>
    <w:p w:rsidR="00201BBF" w:rsidRPr="007C6CA5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lastRenderedPageBreak/>
        <w:t>（四）获得中国标准创新贡献奖的企业，奖励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20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万元；获得重庆市产品</w:t>
      </w:r>
      <w:proofErr w:type="gramStart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标准奖</w:t>
      </w:r>
      <w:proofErr w:type="gramEnd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的企业，奖励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10</w:t>
      </w:r>
      <w:r w:rsidRPr="007C6CA5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万元；获得“采用国际标准和国外先进标准”证书的企业，奖励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万元。</w:t>
      </w:r>
    </w:p>
    <w:p w:rsidR="00201BBF" w:rsidRPr="007C6CA5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（五）获得国家标准化良好行为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AAAA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、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AAA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级称号的企业，分别奖励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20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万元、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15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万元；获得“国家级、市级标准化试点示范项目”（农业标准化示范区、旅游服务标准化示范区等）建设的企业，经验收合格后，分别奖励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20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万元、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万元。</w:t>
      </w:r>
    </w:p>
    <w:p w:rsidR="00201BBF" w:rsidRPr="007C6CA5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（六）主导国际、国家、行业、地方标准制定的企业或社会团体，分别奖励或扶持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25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万元、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20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万元、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15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万元、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万元；参与国际、国家、行业、地方标准制定的企业或社会团体，分别奖励或扶持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万元、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8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万元、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5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万元、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3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万元。</w:t>
      </w:r>
    </w:p>
    <w:p w:rsidR="00201BBF" w:rsidRPr="007C6CA5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（七）获得绿色食品认证并规范使用标识</w:t>
      </w:r>
      <w:r w:rsidRPr="007C6CA5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的企业，每项奖励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3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万元；获得绿色食品续展并规范使用标识的</w:t>
      </w:r>
      <w:r w:rsidRPr="007C6CA5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企业，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每项奖励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2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万元；获得绿色食品原料标准化生产基地的企业，奖励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5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万元；获得有机产品认证并规范使用标识</w:t>
      </w:r>
      <w:r w:rsidRPr="007C6CA5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的企业，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每项奖励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5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万元；获得有机产品再认证并规范使用标识的</w:t>
      </w:r>
      <w:r w:rsidRPr="007C6CA5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企业，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每项奖励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4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万元；获得有机农业示范基地的企业，奖励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万元；获得重庆市名牌农产品的企业，每项奖励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5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万元；获得全国名特优新农产品的企业，每项奖励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30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万元；获得农产品地理标志登记的企业，每项奖励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万元；获得生态原产地产品保护的企业，每项奖励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5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万元。</w:t>
      </w:r>
    </w:p>
    <w:p w:rsidR="00201BBF" w:rsidRPr="007C6CA5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（八）对获得中国驰名商标的商标权利人，每件奖励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100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万元；新获得重庆市著名商标的商标权利人、每件奖励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万元，通过复审认定的、每件奖励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2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万元；获得武隆区知名商标的商标权利人、每件奖励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2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万元，通过复审认定的、每件奖励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0.5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万元；获得国家工商总局商标局地理标志商标认定的，每件奖励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30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万元；获得国内商标注册的，每件奖励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0.2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万元；获得境外商标注册的，给予实际支出费用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70%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的补助。</w:t>
      </w:r>
    </w:p>
    <w:p w:rsidR="00201BBF" w:rsidRPr="007C6CA5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lastRenderedPageBreak/>
        <w:t>（九）对获得鲁班奖的项目，奖励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50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</w:t>
      </w:r>
      <w:proofErr w:type="gramStart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获得巴渝杯</w:t>
      </w:r>
      <w:proofErr w:type="gramEnd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优质工程奖的项目，奖励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20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万元；获得詹天佑土木工程奖的项目，奖励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30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万元；获得大禹奖的项目，奖励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30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万元。</w:t>
      </w:r>
    </w:p>
    <w:p w:rsidR="00201BBF" w:rsidRPr="007C6CA5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（十）新评定的国家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AAAAA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、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AAAA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级景区，分别奖励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200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万元、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50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万元；新评定的五星级、四星级、三星级旅游酒店，分别奖励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50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万元、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20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万元、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万元。</w:t>
      </w:r>
    </w:p>
    <w:p w:rsidR="00201BBF" w:rsidRPr="007C6CA5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（十一）新评定的五星级、四星级、三星级农家乐，分别奖励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15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万元、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5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万元、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万元。</w:t>
      </w:r>
    </w:p>
    <w:p w:rsidR="00201BBF" w:rsidRPr="007C6CA5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（十二）对获得“中华老字号”的企业，奖励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20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万元；获得“重庆市老字号”的企业，奖励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10</w:t>
      </w:r>
      <w:r w:rsidRPr="007C6CA5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万元；对在国家级比赛中获得中华名宴、名菜、名小吃的企业，分别奖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0.5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万元；对在市级比赛中获得市级名宴、名菜、名小吃的企业，分别奖励</w:t>
      </w:r>
      <w:r w:rsidRPr="007C6CA5">
        <w:rPr>
          <w:rFonts w:ascii="宋体" w:eastAsia="宋体" w:hAnsi="宋体" w:cs="Times New Roman"/>
          <w:color w:val="000000"/>
          <w:kern w:val="0"/>
          <w:sz w:val="24"/>
          <w:szCs w:val="24"/>
        </w:rPr>
        <w:t>0.2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万元。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第四条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奖励申报程序。凡符合本办法规定的获奖条件的产品、企业（机构），应在规定时间内提供相关证书及有关证明材料，并向管理推荐申报的区级有关部门申请，由区级有关部门汇总初审后报</w:t>
      </w:r>
      <w:proofErr w:type="gramStart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区质量</w:t>
      </w:r>
      <w:proofErr w:type="gramEnd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品牌建设工作领导小组办公室（区质监局）汇总。经</w:t>
      </w:r>
      <w:proofErr w:type="gramStart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区质量</w:t>
      </w:r>
      <w:proofErr w:type="gramEnd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品牌建设工作</w:t>
      </w:r>
      <w:bookmarkStart w:id="1" w:name="_GoBack"/>
      <w:bookmarkEnd w:id="1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领导小组复审后，提交区政府研究后兑现奖励。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第五条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本办法涉及的奖励资金由区财政统筹解决。属于微型企业的，奖励资金从微型企业后续扶持资金中安排；属于农业产业的，奖励资金从区级特色效益农业专项资金中安排；属于民营企业的，奖励资金从全市民营企业发展资金区县切块资金中安排；属于旅游产业的，奖励资金从区级旅游发展资金中安排；属于商务流通产业的，奖励资金由区级财政预算专项商业发展资金中安排。以上资金均不能覆盖的，由区财政统筹安排资金解决。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第六条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在创建国家级、市级质量品牌活动中，对正式启动申报程序而又</w:t>
      </w:r>
      <w:proofErr w:type="gramStart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未创建</w:t>
      </w:r>
      <w:proofErr w:type="gramEnd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成功的组织，经行业主管部门核批，对其创建工作予以扶持，并补助工作经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lastRenderedPageBreak/>
        <w:t>费。申报评定国家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AAAAA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级景区、中国质量奖、国家级知名品牌（含示范区）和中国驰名商标的，补助工作经费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万元；申报其他国家级的，补助工作经费</w:t>
      </w:r>
      <w:r w:rsidRPr="000F6F15">
        <w:rPr>
          <w:rFonts w:ascii="宋体" w:eastAsia="宋体" w:hAnsi="宋体" w:cs="Times New Roman"/>
          <w:color w:val="000000"/>
          <w:kern w:val="0"/>
          <w:sz w:val="24"/>
          <w:szCs w:val="24"/>
        </w:rPr>
        <w:t>3</w:t>
      </w:r>
      <w:r w:rsidRPr="000F6F15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万元；申报市级的，补助工作经费</w:t>
      </w:r>
      <w:r w:rsidRPr="000F6F15">
        <w:rPr>
          <w:rFonts w:ascii="宋体" w:eastAsia="宋体" w:hAnsi="宋体" w:cs="Times New Roman"/>
          <w:color w:val="000000"/>
          <w:kern w:val="0"/>
          <w:sz w:val="24"/>
          <w:szCs w:val="24"/>
        </w:rPr>
        <w:t>2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万元。凡奖励金额标准低于补助工作经费的项目，不在本条范围内。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第七条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本奖励办法适用于纳税关系在武隆区的企业、行业协会和其他机构。同一品牌同</w:t>
      </w:r>
      <w:proofErr w:type="gramStart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一</w:t>
      </w:r>
      <w:proofErr w:type="gramEnd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年度获得同一性质不同等级称号的，以最高等级标准奖励，不重复奖励。同一品牌在有效期内，只奖励一次。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第八条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在获奖有效期内，被有关部门（机构）撤销本办法所列奖项的获奖企业、行业协会或其他机构，按照有关规定撤销其相应奖励并收回奖金。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第九条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未纳入本办法列举内容，并由国家或相关部门认定的同级别奖励，以及需由政府购买服务的检验检测，由</w:t>
      </w:r>
      <w:proofErr w:type="gramStart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区质量</w:t>
      </w:r>
      <w:proofErr w:type="gramEnd"/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品牌建设工作领导小组研究后，报区政府研究后，予以同等奖励或扶持。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ind w:left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第十条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本办法所指奖励资金均为人民币。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黑体" w:eastAsia="黑体" w:hAnsi="黑体" w:cs="Times New Roman" w:hint="eastAsia"/>
          <w:color w:val="000000"/>
          <w:kern w:val="0"/>
          <w:sz w:val="24"/>
          <w:szCs w:val="24"/>
        </w:rPr>
        <w:t>第十一条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本办法自印发之日起施行。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ind w:right="-29" w:firstLine="64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201BBF" w:rsidRPr="00201BBF" w:rsidRDefault="00201BBF" w:rsidP="00201BBF">
      <w:pPr>
        <w:widowControl/>
        <w:shd w:val="clear" w:color="auto" w:fill="FFFFFF"/>
        <w:spacing w:line="54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</w:p>
    <w:p w:rsidR="00201BBF" w:rsidRPr="00201BBF" w:rsidRDefault="00201BBF" w:rsidP="00201BBF">
      <w:pPr>
        <w:widowControl/>
        <w:shd w:val="clear" w:color="auto" w:fill="FFFFFF"/>
        <w:ind w:firstLine="2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抄送：区委办，区人大办，区政协办，区法院，区检察院，区人武部。</w:t>
      </w:r>
    </w:p>
    <w:p w:rsidR="00201BBF" w:rsidRPr="00201BBF" w:rsidRDefault="00201BBF" w:rsidP="00201BBF">
      <w:pPr>
        <w:widowControl/>
        <w:shd w:val="clear" w:color="auto" w:fill="FFFFFF"/>
        <w:ind w:firstLine="2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重庆市武隆区人民政府办公室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         2017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年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月</w:t>
      </w:r>
      <w:r w:rsidRPr="00201BBF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29</w:t>
      </w:r>
      <w:r w:rsidRPr="00201BBF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日印发</w:t>
      </w:r>
    </w:p>
    <w:p w:rsidR="0087376A" w:rsidRDefault="0087376A"/>
    <w:sectPr w:rsidR="00873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BF"/>
    <w:rsid w:val="000F6F15"/>
    <w:rsid w:val="00201BBF"/>
    <w:rsid w:val="007C6CA5"/>
    <w:rsid w:val="00872FE5"/>
    <w:rsid w:val="0087376A"/>
    <w:rsid w:val="00C1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6C02F-2CE8-4E89-ACEE-453BA328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1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3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239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562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个人用户</cp:lastModifiedBy>
  <cp:revision>10</cp:revision>
  <dcterms:created xsi:type="dcterms:W3CDTF">2018-05-17T03:46:00Z</dcterms:created>
  <dcterms:modified xsi:type="dcterms:W3CDTF">2018-10-25T08:04:00Z</dcterms:modified>
</cp:coreProperties>
</file>