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F9F1E6" w:sz="2" w:space="0"/>
          <w:left w:val="single" w:color="F9F1E6" w:sz="2" w:space="0"/>
          <w:bottom w:val="single" w:color="F9F1E6" w:sz="2" w:space="0"/>
          <w:right w:val="single" w:color="F9F1E6" w:sz="2" w:space="0"/>
        </w:pBdr>
        <w:shd w:val="clear" w:fill="FDFCF8"/>
        <w:spacing w:before="0" w:beforeAutospacing="0" w:after="0" w:afterAutospacing="0" w:line="240" w:lineRule="auto"/>
        <w:ind w:left="0" w:right="0" w:firstLine="0"/>
        <w:jc w:val="center"/>
        <w:rPr>
          <w:rFonts w:hint="eastAsia" w:ascii="宋体" w:hAnsi="宋体" w:eastAsia="宋体" w:cs="宋体"/>
          <w:b/>
          <w:i w:val="0"/>
          <w:caps w:val="0"/>
          <w:color w:val="E11D1E"/>
          <w:spacing w:val="0"/>
          <w:sz w:val="39"/>
          <w:szCs w:val="39"/>
        </w:rPr>
      </w:pPr>
      <w:bookmarkStart w:id="0" w:name="_GoBack"/>
      <w:r>
        <w:rPr>
          <w:rFonts w:hint="eastAsia" w:ascii="宋体" w:hAnsi="宋体" w:eastAsia="宋体" w:cs="宋体"/>
          <w:b/>
          <w:i w:val="0"/>
          <w:caps w:val="0"/>
          <w:color w:val="E11D1E"/>
          <w:spacing w:val="0"/>
          <w:kern w:val="0"/>
          <w:sz w:val="39"/>
          <w:szCs w:val="39"/>
          <w:bdr w:val="none" w:color="auto" w:sz="0" w:space="0"/>
          <w:shd w:val="clear" w:fill="FDFCF8"/>
          <w:lang w:val="en-US" w:eastAsia="zh-CN" w:bidi="ar"/>
        </w:rPr>
        <w:t>光泽县人民政府关于扶持电子商务发展的意见</w:t>
      </w:r>
    </w:p>
    <w:bookmarkEnd w:id="0"/>
    <w:p>
      <w:pPr>
        <w:keepNext w:val="0"/>
        <w:keepLines w:val="0"/>
        <w:widowControl/>
        <w:suppressLineNumbers w:val="0"/>
        <w:pBdr>
          <w:top w:val="single" w:color="F9F1E6" w:sz="2" w:space="0"/>
          <w:left w:val="single" w:color="F9F1E6" w:sz="2" w:space="0"/>
          <w:bottom w:val="single" w:color="DF1E1F" w:sz="6" w:space="0"/>
          <w:right w:val="single" w:color="F9F1E6" w:sz="2" w:space="0"/>
        </w:pBdr>
        <w:shd w:val="clear" w:fill="FDFCF8"/>
        <w:spacing w:before="300" w:beforeAutospacing="0" w:after="0" w:afterAutospacing="0" w:line="375" w:lineRule="atLeast"/>
        <w:ind w:left="0" w:right="0" w:firstLine="0"/>
        <w:jc w:val="right"/>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【字体：</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"http://www.guangze.gov.cn/cms/infopublic/javascript:void(0)"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大</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"http://www.guangze.gov.cn/cms/infopublic/javascript:void(0)"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中</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"http://www.guangze.gov.cn/cms/infopublic/javascript:void(0)"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小</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"http://www.guangze.gov.cn/cms/infopublic/javascript:window.print()"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【打印】</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r>
        <w:rPr>
          <w:rFonts w:hint="eastAsia" w:ascii="宋体" w:hAnsi="宋体" w:eastAsia="宋体" w:cs="宋体"/>
          <w:b w:val="0"/>
          <w:i w:val="0"/>
          <w:caps w:val="0"/>
          <w:color w:val="000000"/>
          <w:spacing w:val="0"/>
          <w:kern w:val="0"/>
          <w:sz w:val="18"/>
          <w:szCs w:val="18"/>
          <w:bdr w:val="none" w:color="auto" w:sz="0" w:space="0"/>
          <w:shd w:val="clear" w:fill="FDFCF8"/>
          <w:lang w:val="en-US" w:eastAsia="zh-CN" w:bidi="ar"/>
        </w:rPr>
        <w:t> </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begin"/>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instrText xml:space="preserve"> HYPERLINK "http://www.guangze.gov.cn/cms/infopublic/javascript:window.close()" </w:instrTex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separate"/>
      </w:r>
      <w:r>
        <w:rPr>
          <w:rStyle w:val="4"/>
          <w:rFonts w:hint="eastAsia" w:ascii="宋体" w:hAnsi="宋体" w:eastAsia="宋体" w:cs="宋体"/>
          <w:b w:val="0"/>
          <w:i w:val="0"/>
          <w:caps w:val="0"/>
          <w:color w:val="2B2B2B"/>
          <w:spacing w:val="0"/>
          <w:sz w:val="18"/>
          <w:szCs w:val="18"/>
          <w:u w:val="none"/>
          <w:bdr w:val="none" w:color="auto" w:sz="0" w:space="0"/>
          <w:shd w:val="clear" w:fill="FDFCF8"/>
        </w:rPr>
        <w:t>【关闭】</w:t>
      </w:r>
      <w:r>
        <w:rPr>
          <w:rFonts w:hint="eastAsia" w:ascii="宋体" w:hAnsi="宋体" w:eastAsia="宋体" w:cs="宋体"/>
          <w:b w:val="0"/>
          <w:i w:val="0"/>
          <w:caps w:val="0"/>
          <w:color w:val="2B2B2B"/>
          <w:spacing w:val="0"/>
          <w:kern w:val="0"/>
          <w:sz w:val="18"/>
          <w:szCs w:val="18"/>
          <w:u w:val="none"/>
          <w:bdr w:val="none" w:color="auto" w:sz="0" w:space="0"/>
          <w:shd w:val="clear" w:fill="FDFCF8"/>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索引号: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NP08100-3003-2014-00001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生成日期: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2014-07-11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发布日期: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2014-07-14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发布机构: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政府办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文 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光政综〔2014〕105号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bdr w:val="none" w:color="auto" w:sz="0" w:space="0"/>
          <w:shd w:val="clear" w:fill="FDFCF8"/>
        </w:rPr>
        <w:t>点击数: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bdr w:val="none" w:color="auto" w:sz="0" w:space="0"/>
          <w:shd w:val="clear" w:fill="FDFCF8"/>
        </w:rPr>
        <w:t>28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1"/>
          <w:szCs w:val="21"/>
          <w:bdr w:val="none" w:color="auto" w:sz="0" w:space="0"/>
          <w:shd w:val="clear" w:fill="FFFFFF"/>
        </w:rPr>
        <w:t>各乡（镇）人民政府，县直各部门、各有关企业：</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为进一步加快我县电子商务发展，根据《福建省人民政府关于进一步加快电子商务发展的若干意见》（闽政文〔2014〕157号）精神，结合我县电子商务产业发展三年行动方案要求，现提出以下扶持意见。</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一、构筑示范平台。加快电子商务集聚区建设，围绕培育我县地域特色明显、行业特点突出的电子商务示范企业（平台），积极支持创建省级示范企业（平台），县财政对入选省级示范企业（平台），给予最高不超过20万元的奖励。</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二、培育龙头支柱。对新入驻我县的电子商务总部企业，汇缴注册资本金500万元以上（含500万元，下同），进入实质性运作的，经有关部门审核认定，给予一次性落地奖励20万元；对汇缴注册资本金1000万元以上的，按该企业地方税收贡献额，第1-5年，分别给予80%、60%、40%、30%和20%的奖励，其应缴纳的行政事业性收费属于地方级收入部分，第1-2年全部免收或返还，第3-5年减半征收或返还。</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三、鼓励做大规模。对电子商务营业收入首次超过3000万元、5000万元、1亿元的企业，以上年度为基数，分别按其所缴纳地方级“三税”（增值税、营业税、企业所得税）新增部分20%、25%、30%的比例给予奖励，用于企业拓展市场或产品研发。电子商务企业用水、电、气等享受工业企业政策，电子商务项目视同县重点项目管理。</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四、突出重点领域。重点支持我县生态食品和特色工艺美术品以及传统商贸流通等企业运用电子商务平台拓展市场，对网上年销售额首次突破3000万元的上述企业（通过网上支付工具结算金额），县财政给予一次性最高不超过20万元的奖励。</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五、推动模式创新。支持我县企业在淘宝、天猫、京东等知名电子商务平台设立光泽“中国生态食品城”（区域、产品）专区、参加由省市组织的国内外知名电子商务展览会和网商网货大会以及电子商务宣传推介等活动，对独立专区的运营、宣传推广和让利促销等方面费用，由县财政择优给予一定补助。对企业在县外设立的推介本县产品的固定展销展示中心，视建设规模给予补助，最高一个不超过10万元。</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六、加快品牌建设。重点打造“中国生态食品城”网店品牌，对我县受权使用的“中国生态食品城”电子商务第三支付平台，获得第三方互联网支付牌照后，县财政给予最高不超过10万元的奖励。</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七、强化物流配送。县公安机关和交通管理部门对经我县物流牵头管理部门核定的城区小型配送车辆和由设区市以上管理部门核定的城区快递运输车辆，及时办理相关登记手续，并给予城区通行权和停靠权便利，在城区行驶路线、停靠地点等方面实行绿色通道，允许临时停靠城区公用停车和地下停车场预留专用停车位。对在本县境内注册独立法人机构，从事物流配送（含为电商企业与企业自行服务）的，前三年所产生地方性税收的90%予以返还，地方性收费全额免收或返还。支持电商企业、快递企业自建、租售仓储设施进行电子商务配送，给予享受省市相关政策。</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八、注重人才引进培育。电子商务企业引进年薪10万元以上（含10万元）且聘用时间超过1年（含1年）的高级管理人才、高端营运人才、核心技术人才，按其当年在本地缴纳的个人所得税地方留成部分给予一定奖励；对企业聘用1年以上（含1年）的本科以上大学生给予公租房待遇。加快电子商务职业技能评定、职业资格论证工作，鼓励电子商务企业开展电子商务人才培训，对符合我省就业专项资金管理办法规定的，纳入就业专项资金管理。县委农办、县人社局等部门要将电商人才培训纳入年度计划，并对电商企业开展人才培训给予补助。</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九、加大服务力度。对企业租赁改造公有房屋从事电子商务的，坚持从优原则，“一事一议”支持，县住建、供电等部门要在水、电、气等方面予以保障；县工商、电信等部门要在登记审批上创新模式，简化程序，快办快结。</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十、其他。以上扶持意见由县经贸局负责解释。政策兑现由县经贸局会同县财政局等部门组织申报、审核后报县政府审批，从电子商务专项资金中列支。本意见自印发之日起执行，与光政综〔2014〕56号文不一致的，以此意见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pPr>
      <w:r>
        <w:rPr>
          <w:rFonts w:hint="eastAsia" w:ascii="宋体" w:hAnsi="宋体" w:eastAsia="宋体" w:cs="宋体"/>
          <w:b w:val="0"/>
          <w:i w:val="0"/>
          <w:caps w:val="0"/>
          <w:color w:val="000000"/>
          <w:spacing w:val="0"/>
          <w:sz w:val="21"/>
          <w:szCs w:val="21"/>
          <w:bdr w:val="none" w:color="auto" w:sz="0" w:space="0"/>
          <w:shd w:val="clear" w:fill="FFFFFF"/>
        </w:rPr>
        <w:t>光泽县人民政府 </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2014年7月11日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66269"/>
    <w:rsid w:val="4216626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2018-06-07T10:01:00Z</dcterms:created>
  <dc:creator>lenovo</dc:creator>
  <cp:lastModifiedBy>lenovo</cp:lastModifiedBy>
  <dcterms:modified xsi:type="dcterms:W3CDTF">2018-06-07T10:01:24Z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