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Mar>
          <w:top w:w="15" w:type="dxa"/>
          <w:left w:w="15" w:type="dxa"/>
          <w:bottom w:w="15" w:type="dxa"/>
          <w:right w:w="15" w:type="dxa"/>
        </w:tblCellMar>
        <w:tblLook w:val="04A0" w:firstRow="1" w:lastRow="0" w:firstColumn="1" w:lastColumn="0" w:noHBand="0" w:noVBand="1"/>
      </w:tblPr>
      <w:tblGrid>
        <w:gridCol w:w="7475"/>
      </w:tblGrid>
      <w:tr w:rsidR="003F25EA" w:rsidRPr="003F25EA" w:rsidTr="003F25EA">
        <w:trPr>
          <w:jc w:val="center"/>
        </w:trPr>
        <w:tc>
          <w:tcPr>
            <w:tcW w:w="0" w:type="auto"/>
            <w:tcMar>
              <w:top w:w="0" w:type="dxa"/>
              <w:left w:w="0" w:type="dxa"/>
              <w:bottom w:w="0" w:type="dxa"/>
              <w:right w:w="0" w:type="dxa"/>
            </w:tcMar>
            <w:vAlign w:val="center"/>
            <w:hideMark/>
          </w:tcPr>
          <w:p w:rsidR="003F25EA" w:rsidRPr="003F25EA" w:rsidRDefault="003F25EA" w:rsidP="003F25EA">
            <w:pPr>
              <w:widowControl/>
              <w:spacing w:line="810" w:lineRule="atLeast"/>
              <w:jc w:val="center"/>
              <w:rPr>
                <w:rFonts w:ascii="微软雅黑" w:eastAsia="微软雅黑" w:hAnsi="微软雅黑" w:cs="宋体"/>
                <w:color w:val="3D3D3D"/>
                <w:kern w:val="0"/>
                <w:sz w:val="39"/>
                <w:szCs w:val="39"/>
              </w:rPr>
            </w:pPr>
            <w:bookmarkStart w:id="0" w:name="_GoBack"/>
            <w:r w:rsidRPr="003F25EA">
              <w:rPr>
                <w:rFonts w:ascii="微软雅黑" w:eastAsia="微软雅黑" w:hAnsi="微软雅黑" w:cs="宋体" w:hint="eastAsia"/>
                <w:color w:val="3D3D3D"/>
                <w:kern w:val="0"/>
                <w:sz w:val="39"/>
                <w:szCs w:val="39"/>
              </w:rPr>
              <w:t>济南市人民政府办公厅关于印发济南市促进会展业发展若干措施</w:t>
            </w:r>
          </w:p>
          <w:bookmarkEnd w:id="0"/>
          <w:p w:rsidR="003F25EA" w:rsidRPr="003F25EA" w:rsidRDefault="003F25EA" w:rsidP="003F25EA">
            <w:pPr>
              <w:widowControl/>
              <w:spacing w:before="75" w:after="75" w:line="810" w:lineRule="atLeast"/>
              <w:jc w:val="center"/>
              <w:rPr>
                <w:rFonts w:ascii="微软雅黑" w:eastAsia="微软雅黑" w:hAnsi="微软雅黑" w:cs="宋体" w:hint="eastAsia"/>
                <w:color w:val="3D3D3D"/>
                <w:kern w:val="0"/>
                <w:sz w:val="39"/>
                <w:szCs w:val="39"/>
              </w:rPr>
            </w:pPr>
            <w:r w:rsidRPr="003F25EA">
              <w:rPr>
                <w:rFonts w:ascii="微软雅黑" w:eastAsia="微软雅黑" w:hAnsi="微软雅黑" w:cs="宋体" w:hint="eastAsia"/>
                <w:color w:val="3D3D3D"/>
                <w:kern w:val="0"/>
                <w:sz w:val="39"/>
                <w:szCs w:val="39"/>
              </w:rPr>
              <w:pict>
                <v:rect id="_x0000_i1025" style="width:0;height:0" o:hralign="center" o:hrstd="t" o:hr="t" fillcolor="#a0a0a0" stroked="f"/>
              </w:pict>
            </w:r>
          </w:p>
        </w:tc>
      </w:tr>
      <w:tr w:rsidR="003F25EA" w:rsidRPr="003F25EA" w:rsidTr="003F25EA">
        <w:trPr>
          <w:jc w:val="center"/>
        </w:trPr>
        <w:tc>
          <w:tcPr>
            <w:tcW w:w="0" w:type="auto"/>
            <w:tcMar>
              <w:top w:w="0" w:type="dxa"/>
              <w:left w:w="0" w:type="dxa"/>
              <w:bottom w:w="0" w:type="dxa"/>
              <w:right w:w="0" w:type="dxa"/>
            </w:tcMar>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2220"/>
              <w:gridCol w:w="1514"/>
              <w:gridCol w:w="2994"/>
            </w:tblGrid>
            <w:tr w:rsidR="003F25EA" w:rsidRPr="003F25EA">
              <w:trPr>
                <w:jc w:val="center"/>
              </w:trPr>
              <w:tc>
                <w:tcPr>
                  <w:tcW w:w="1650" w:type="pct"/>
                  <w:tcMar>
                    <w:top w:w="0" w:type="dxa"/>
                    <w:left w:w="0" w:type="dxa"/>
                    <w:bottom w:w="0" w:type="dxa"/>
                    <w:right w:w="0" w:type="dxa"/>
                  </w:tcMar>
                  <w:vAlign w:val="center"/>
                  <w:hideMark/>
                </w:tcPr>
                <w:p w:rsidR="003F25EA" w:rsidRPr="003F25EA" w:rsidRDefault="003F25EA" w:rsidP="003F25EA">
                  <w:pPr>
                    <w:widowControl/>
                    <w:jc w:val="right"/>
                    <w:rPr>
                      <w:rFonts w:ascii="宋体" w:eastAsia="宋体" w:hAnsi="宋体" w:cs="宋体" w:hint="eastAsia"/>
                      <w:kern w:val="0"/>
                      <w:sz w:val="24"/>
                      <w:szCs w:val="24"/>
                    </w:rPr>
                  </w:pPr>
                  <w:r w:rsidRPr="003F25EA">
                    <w:rPr>
                      <w:rFonts w:ascii="宋体" w:eastAsia="宋体" w:hAnsi="宋体" w:cs="宋体"/>
                      <w:kern w:val="0"/>
                      <w:sz w:val="24"/>
                      <w:szCs w:val="24"/>
                    </w:rPr>
                    <w:t>发布日期：2018-04-04</w:t>
                  </w:r>
                </w:p>
              </w:tc>
              <w:tc>
                <w:tcPr>
                  <w:tcW w:w="0" w:type="auto"/>
                  <w:tcMar>
                    <w:top w:w="0" w:type="dxa"/>
                    <w:left w:w="0" w:type="dxa"/>
                    <w:bottom w:w="0" w:type="dxa"/>
                    <w:right w:w="0" w:type="dxa"/>
                  </w:tcMar>
                  <w:vAlign w:val="center"/>
                  <w:hideMark/>
                </w:tcPr>
                <w:p w:rsidR="003F25EA" w:rsidRPr="003F25EA" w:rsidRDefault="003F25EA" w:rsidP="003F25EA">
                  <w:pPr>
                    <w:widowControl/>
                    <w:jc w:val="center"/>
                    <w:rPr>
                      <w:rFonts w:ascii="宋体" w:eastAsia="宋体" w:hAnsi="宋体" w:cs="宋体"/>
                      <w:kern w:val="0"/>
                      <w:sz w:val="24"/>
                      <w:szCs w:val="24"/>
                    </w:rPr>
                  </w:pPr>
                  <w:r w:rsidRPr="003F25EA">
                    <w:rPr>
                      <w:rFonts w:ascii="宋体" w:eastAsia="宋体" w:hAnsi="宋体" w:cs="宋体"/>
                      <w:kern w:val="0"/>
                      <w:sz w:val="24"/>
                      <w:szCs w:val="24"/>
                    </w:rPr>
                    <w:t>浏览次数:57</w:t>
                  </w:r>
                </w:p>
              </w:tc>
              <w:tc>
                <w:tcPr>
                  <w:tcW w:w="0" w:type="auto"/>
                  <w:tcMar>
                    <w:top w:w="0" w:type="dxa"/>
                    <w:left w:w="0" w:type="dxa"/>
                    <w:bottom w:w="0" w:type="dxa"/>
                    <w:right w:w="0" w:type="dxa"/>
                  </w:tcMar>
                  <w:vAlign w:val="center"/>
                  <w:hideMark/>
                </w:tcPr>
                <w:p w:rsidR="003F25EA" w:rsidRPr="003F25EA" w:rsidRDefault="003F25EA" w:rsidP="003F25EA">
                  <w:pPr>
                    <w:widowControl/>
                    <w:jc w:val="left"/>
                    <w:rPr>
                      <w:rFonts w:ascii="宋体" w:eastAsia="宋体" w:hAnsi="宋体" w:cs="宋体"/>
                      <w:kern w:val="0"/>
                      <w:sz w:val="24"/>
                      <w:szCs w:val="24"/>
                    </w:rPr>
                  </w:pPr>
                  <w:r w:rsidRPr="003F25EA">
                    <w:rPr>
                      <w:rFonts w:ascii="宋体" w:eastAsia="宋体" w:hAnsi="宋体" w:cs="宋体"/>
                      <w:kern w:val="0"/>
                      <w:sz w:val="24"/>
                      <w:szCs w:val="24"/>
                    </w:rPr>
                    <w:t>字体：[ </w:t>
                  </w:r>
                  <w:hyperlink r:id="rId4" w:history="1">
                    <w:r w:rsidRPr="003F25EA">
                      <w:rPr>
                        <w:rFonts w:ascii="微软雅黑" w:eastAsia="微软雅黑" w:hAnsi="微软雅黑" w:cs="宋体" w:hint="eastAsia"/>
                        <w:color w:val="333333"/>
                        <w:kern w:val="0"/>
                        <w:sz w:val="23"/>
                        <w:szCs w:val="23"/>
                        <w:bdr w:val="none" w:sz="0" w:space="0" w:color="auto" w:frame="1"/>
                      </w:rPr>
                      <w:t>大</w:t>
                    </w:r>
                  </w:hyperlink>
                  <w:r w:rsidRPr="003F25EA">
                    <w:rPr>
                      <w:rFonts w:ascii="宋体" w:eastAsia="宋体" w:hAnsi="宋体" w:cs="宋体"/>
                      <w:kern w:val="0"/>
                      <w:sz w:val="24"/>
                      <w:szCs w:val="24"/>
                    </w:rPr>
                    <w:t> </w:t>
                  </w:r>
                  <w:hyperlink r:id="rId5" w:history="1">
                    <w:r w:rsidRPr="003F25EA">
                      <w:rPr>
                        <w:rFonts w:ascii="微软雅黑" w:eastAsia="微软雅黑" w:hAnsi="微软雅黑" w:cs="宋体" w:hint="eastAsia"/>
                        <w:color w:val="333333"/>
                        <w:kern w:val="0"/>
                        <w:sz w:val="23"/>
                        <w:szCs w:val="23"/>
                        <w:bdr w:val="none" w:sz="0" w:space="0" w:color="auto" w:frame="1"/>
                      </w:rPr>
                      <w:t>中</w:t>
                    </w:r>
                  </w:hyperlink>
                  <w:r w:rsidRPr="003F25EA">
                    <w:rPr>
                      <w:rFonts w:ascii="宋体" w:eastAsia="宋体" w:hAnsi="宋体" w:cs="宋体"/>
                      <w:kern w:val="0"/>
                      <w:sz w:val="24"/>
                      <w:szCs w:val="24"/>
                    </w:rPr>
                    <w:t> </w:t>
                  </w:r>
                  <w:hyperlink r:id="rId6" w:history="1">
                    <w:r w:rsidRPr="003F25EA">
                      <w:rPr>
                        <w:rFonts w:ascii="微软雅黑" w:eastAsia="微软雅黑" w:hAnsi="微软雅黑" w:cs="宋体" w:hint="eastAsia"/>
                        <w:color w:val="333333"/>
                        <w:kern w:val="0"/>
                        <w:sz w:val="23"/>
                        <w:szCs w:val="23"/>
                        <w:bdr w:val="none" w:sz="0" w:space="0" w:color="auto" w:frame="1"/>
                      </w:rPr>
                      <w:t>小</w:t>
                    </w:r>
                  </w:hyperlink>
                  <w:r w:rsidRPr="003F25EA">
                    <w:rPr>
                      <w:rFonts w:ascii="宋体" w:eastAsia="宋体" w:hAnsi="宋体" w:cs="宋体"/>
                      <w:kern w:val="0"/>
                      <w:sz w:val="24"/>
                      <w:szCs w:val="24"/>
                    </w:rPr>
                    <w:t> ]</w:t>
                  </w:r>
                </w:p>
              </w:tc>
            </w:tr>
          </w:tbl>
          <w:p w:rsidR="003F25EA" w:rsidRPr="003F25EA" w:rsidRDefault="003F25EA" w:rsidP="003F25EA">
            <w:pPr>
              <w:widowControl/>
              <w:spacing w:before="75" w:after="75"/>
              <w:jc w:val="left"/>
              <w:rPr>
                <w:rFonts w:ascii="微软雅黑" w:eastAsia="微软雅黑" w:hAnsi="微软雅黑" w:cs="宋体"/>
                <w:color w:val="333333"/>
                <w:kern w:val="0"/>
                <w:sz w:val="23"/>
                <w:szCs w:val="23"/>
              </w:rPr>
            </w:pPr>
          </w:p>
        </w:tc>
      </w:tr>
      <w:tr w:rsidR="003F25EA" w:rsidRPr="003F25EA" w:rsidTr="003F25EA">
        <w:trPr>
          <w:jc w:val="center"/>
        </w:trPr>
        <w:tc>
          <w:tcPr>
            <w:tcW w:w="0" w:type="auto"/>
            <w:tcMar>
              <w:top w:w="0" w:type="dxa"/>
              <w:left w:w="0" w:type="dxa"/>
              <w:bottom w:w="0" w:type="dxa"/>
              <w:right w:w="0" w:type="dxa"/>
            </w:tcMar>
            <w:vAlign w:val="center"/>
            <w:hideMark/>
          </w:tcPr>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33333"/>
                <w:kern w:val="0"/>
                <w:sz w:val="23"/>
                <w:szCs w:val="23"/>
              </w:rPr>
              <w:t> </w:t>
            </w:r>
          </w:p>
          <w:p w:rsidR="003F25EA" w:rsidRPr="003F25EA" w:rsidRDefault="003F25EA" w:rsidP="003F25EA">
            <w:pPr>
              <w:widowControl/>
              <w:spacing w:line="480" w:lineRule="atLeast"/>
              <w:ind w:firstLine="420"/>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济南市人民政府办公厅关于印发济南市促进会展业发展若干措施的通知为全面贯彻落实“打造四个中心，建设现代泉城”重大决策部署，进一步优化会展业发展环境，培育壮大市场主体，促进我市会展业转型升级、创新发展，特制定如下措施。</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r w:rsidRPr="003F25EA">
              <w:rPr>
                <w:rFonts w:ascii="微软雅黑" w:eastAsia="微软雅黑" w:hAnsi="微软雅黑" w:cs="宋体" w:hint="eastAsia"/>
                <w:b/>
                <w:bCs/>
                <w:color w:val="363636"/>
                <w:kern w:val="0"/>
                <w:sz w:val="23"/>
                <w:szCs w:val="23"/>
                <w:shd w:val="clear" w:color="auto" w:fill="FFFFFF"/>
              </w:rPr>
              <w:t>一、积极打造自主品牌展会</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(一)对在我市举办并引领行业发展、有利于产业结构调整和优化的专业展会，租赁面积在10000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(含)以上，且展位500(含)</w:t>
            </w:r>
            <w:proofErr w:type="gramStart"/>
            <w:r w:rsidRPr="003F25EA">
              <w:rPr>
                <w:rFonts w:ascii="微软雅黑" w:eastAsia="微软雅黑" w:hAnsi="微软雅黑" w:cs="宋体" w:hint="eastAsia"/>
                <w:color w:val="363636"/>
                <w:kern w:val="0"/>
                <w:sz w:val="23"/>
                <w:szCs w:val="23"/>
                <w:shd w:val="clear" w:color="auto" w:fill="FFFFFF"/>
              </w:rPr>
              <w:t>个</w:t>
            </w:r>
            <w:proofErr w:type="gramEnd"/>
            <w:r w:rsidRPr="003F25EA">
              <w:rPr>
                <w:rFonts w:ascii="微软雅黑" w:eastAsia="微软雅黑" w:hAnsi="微软雅黑" w:cs="宋体" w:hint="eastAsia"/>
                <w:color w:val="363636"/>
                <w:kern w:val="0"/>
                <w:sz w:val="23"/>
                <w:szCs w:val="23"/>
                <w:shd w:val="clear" w:color="auto" w:fill="FFFFFF"/>
              </w:rPr>
              <w:t>以上的，给予补贴10万元；展会租赁面积每增加5000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，增加补贴5万元，最高补贴80万元(注：展会租赁面积以展馆合同及财务发票为准，下同)。自第二年起，仅对增量补贴，即展会租赁面积每增加5000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(含)，给予补贴10万元，最高补贴50万元。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(二)对在我市举办并可拉动经济增长、促进产业融合的综合性展会，租赁面积在20000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(含)以上，且展位1000(含)</w:t>
            </w:r>
            <w:proofErr w:type="gramStart"/>
            <w:r w:rsidRPr="003F25EA">
              <w:rPr>
                <w:rFonts w:ascii="微软雅黑" w:eastAsia="微软雅黑" w:hAnsi="微软雅黑" w:cs="宋体" w:hint="eastAsia"/>
                <w:color w:val="363636"/>
                <w:kern w:val="0"/>
                <w:sz w:val="23"/>
                <w:szCs w:val="23"/>
                <w:shd w:val="clear" w:color="auto" w:fill="FFFFFF"/>
              </w:rPr>
              <w:t>个</w:t>
            </w:r>
            <w:proofErr w:type="gramEnd"/>
            <w:r w:rsidRPr="003F25EA">
              <w:rPr>
                <w:rFonts w:ascii="微软雅黑" w:eastAsia="微软雅黑" w:hAnsi="微软雅黑" w:cs="宋体" w:hint="eastAsia"/>
                <w:color w:val="363636"/>
                <w:kern w:val="0"/>
                <w:sz w:val="23"/>
                <w:szCs w:val="23"/>
                <w:shd w:val="clear" w:color="auto" w:fill="FFFFFF"/>
              </w:rPr>
              <w:t>以上的，给予补贴10万元；展会租赁面积每增加10000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，增加补贴5万元，最高补贴50万</w:t>
            </w:r>
            <w:r w:rsidRPr="003F25EA">
              <w:rPr>
                <w:rFonts w:ascii="微软雅黑" w:eastAsia="微软雅黑" w:hAnsi="微软雅黑" w:cs="宋体" w:hint="eastAsia"/>
                <w:color w:val="363636"/>
                <w:kern w:val="0"/>
                <w:sz w:val="23"/>
                <w:szCs w:val="23"/>
                <w:shd w:val="clear" w:color="auto" w:fill="FFFFFF"/>
              </w:rPr>
              <w:lastRenderedPageBreak/>
              <w:t>元。自第二年起，仅对增量补贴，即展会租赁面积每增加10000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(含)，给予补贴10万元，最高补贴50万元。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(三)对在我市举办并符合国家或我市重点产业规划的新兴题材展会，租赁面积在8000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(含)以上，且展位300(含)</w:t>
            </w:r>
            <w:proofErr w:type="gramStart"/>
            <w:r w:rsidRPr="003F25EA">
              <w:rPr>
                <w:rFonts w:ascii="微软雅黑" w:eastAsia="微软雅黑" w:hAnsi="微软雅黑" w:cs="宋体" w:hint="eastAsia"/>
                <w:color w:val="363636"/>
                <w:kern w:val="0"/>
                <w:sz w:val="23"/>
                <w:szCs w:val="23"/>
                <w:shd w:val="clear" w:color="auto" w:fill="FFFFFF"/>
              </w:rPr>
              <w:t>个</w:t>
            </w:r>
            <w:proofErr w:type="gramEnd"/>
            <w:r w:rsidRPr="003F25EA">
              <w:rPr>
                <w:rFonts w:ascii="微软雅黑" w:eastAsia="微软雅黑" w:hAnsi="微软雅黑" w:cs="宋体" w:hint="eastAsia"/>
                <w:color w:val="363636"/>
                <w:kern w:val="0"/>
                <w:sz w:val="23"/>
                <w:szCs w:val="23"/>
                <w:shd w:val="clear" w:color="auto" w:fill="FFFFFF"/>
              </w:rPr>
              <w:t>以上的，给予补贴10万元；展会租赁面积每增加5000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，增加补贴5万元，最高补贴50万元。自第二年起，仅对增量补贴，即展会租赁面积每增加5000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(含)，给予补贴10万元，最高补贴50万元。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(四)支持品牌特色展会及节事活动。对各县区(含济南高新区、市南部山区，下同)结合本地产业特色创办的独具特色的展会及节事活动，列为全市重点的，每届给予最高30万元补贴。</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(五)支持展会品牌化发展。对通过全球展览业协会(UFI)认证的展会，给予一次性补贴，最高补贴50万元；对通过国际大会及会议协会(ICCA)等国际展览业认证机构认证的展会，给予一次性补贴，最高补贴10万元。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r w:rsidRPr="003F25EA">
              <w:rPr>
                <w:rFonts w:ascii="微软雅黑" w:eastAsia="微软雅黑" w:hAnsi="微软雅黑" w:cs="宋体" w:hint="eastAsia"/>
                <w:b/>
                <w:bCs/>
                <w:color w:val="363636"/>
                <w:kern w:val="0"/>
                <w:sz w:val="23"/>
                <w:szCs w:val="23"/>
                <w:shd w:val="clear" w:color="auto" w:fill="FFFFFF"/>
              </w:rPr>
              <w:t>二、引进高端品牌展会和知名会展机构</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(一)对引进的，由国际权威机构组织承办、无财政支持的专业性展会，展会租赁面积在10000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(含)以上的，根据展会租赁面积等条件，每个展会给予补贴50—200万元。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(二)对引进的，由国家部委和国家级一类行业协会(学会)组织承办，且在国内成功举办的巡回展会，租赁面积在20000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(含)以上的，根据展会租赁面积等条件，每个展会给予补贴50—150万元。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lastRenderedPageBreak/>
              <w:t xml:space="preserve">　　(三)对引进的，由国际国内知名会展机构(上市公司、外资展览机构、中外合资办展机构等)组织承办，符合我市重点产业规划，且与我市自主品牌展会无明显冲突的展会，租赁面积在20000</w:t>
            </w:r>
            <w:r w:rsidRPr="003F25EA">
              <w:rPr>
                <w:rFonts w:ascii="宋体" w:eastAsia="宋体" w:hAnsi="宋体" w:cs="宋体" w:hint="eastAsia"/>
                <w:color w:val="363636"/>
                <w:kern w:val="0"/>
                <w:sz w:val="23"/>
                <w:szCs w:val="23"/>
                <w:shd w:val="clear" w:color="auto" w:fill="FFFFFF"/>
              </w:rPr>
              <w:t>㎡</w:t>
            </w:r>
            <w:r w:rsidRPr="003F25EA">
              <w:rPr>
                <w:rFonts w:ascii="微软雅黑" w:eastAsia="微软雅黑" w:hAnsi="微软雅黑" w:cs="宋体" w:hint="eastAsia"/>
                <w:color w:val="363636"/>
                <w:kern w:val="0"/>
                <w:sz w:val="23"/>
                <w:szCs w:val="23"/>
                <w:shd w:val="clear" w:color="auto" w:fill="FFFFFF"/>
              </w:rPr>
              <w:t>以上的，每个展会给予补贴30—80万元。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(四)对引进的国际国内知名会展机构，在我市设立总部或分支机构，符合条件的可享受我市支持总部经济发展政策，其在我市举办品牌展会的，按照展会规模和规定标准给予补贴。</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r w:rsidRPr="003F25EA">
              <w:rPr>
                <w:rFonts w:ascii="微软雅黑" w:eastAsia="微软雅黑" w:hAnsi="微软雅黑" w:cs="宋体" w:hint="eastAsia"/>
                <w:b/>
                <w:bCs/>
                <w:color w:val="363636"/>
                <w:kern w:val="0"/>
                <w:sz w:val="23"/>
                <w:szCs w:val="23"/>
                <w:shd w:val="clear" w:color="auto" w:fill="FFFFFF"/>
              </w:rPr>
              <w:t>三、优化行业发展环境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proofErr w:type="gramStart"/>
            <w:r w:rsidRPr="003F25EA">
              <w:rPr>
                <w:rFonts w:ascii="微软雅黑" w:eastAsia="微软雅黑" w:hAnsi="微软雅黑" w:cs="宋体" w:hint="eastAsia"/>
                <w:color w:val="363636"/>
                <w:kern w:val="0"/>
                <w:sz w:val="23"/>
                <w:szCs w:val="23"/>
                <w:shd w:val="clear" w:color="auto" w:fill="FFFFFF"/>
              </w:rPr>
              <w:t>一</w:t>
            </w:r>
            <w:proofErr w:type="gramEnd"/>
            <w:r w:rsidRPr="003F25EA">
              <w:rPr>
                <w:rFonts w:ascii="微软雅黑" w:eastAsia="微软雅黑" w:hAnsi="微软雅黑" w:cs="宋体" w:hint="eastAsia"/>
                <w:color w:val="363636"/>
                <w:kern w:val="0"/>
                <w:sz w:val="23"/>
                <w:szCs w:val="23"/>
                <w:shd w:val="clear" w:color="auto" w:fill="FFFFFF"/>
              </w:rPr>
              <w:t>)支持会展业公共服务信息平台、会展</w:t>
            </w:r>
            <w:proofErr w:type="gramStart"/>
            <w:r w:rsidRPr="003F25EA">
              <w:rPr>
                <w:rFonts w:ascii="微软雅黑" w:eastAsia="微软雅黑" w:hAnsi="微软雅黑" w:cs="宋体" w:hint="eastAsia"/>
                <w:color w:val="363636"/>
                <w:kern w:val="0"/>
                <w:sz w:val="23"/>
                <w:szCs w:val="23"/>
                <w:shd w:val="clear" w:color="auto" w:fill="FFFFFF"/>
              </w:rPr>
              <w:t>业统计</w:t>
            </w:r>
            <w:proofErr w:type="gramEnd"/>
            <w:r w:rsidRPr="003F25EA">
              <w:rPr>
                <w:rFonts w:ascii="微软雅黑" w:eastAsia="微软雅黑" w:hAnsi="微软雅黑" w:cs="宋体" w:hint="eastAsia"/>
                <w:color w:val="363636"/>
                <w:kern w:val="0"/>
                <w:sz w:val="23"/>
                <w:szCs w:val="23"/>
                <w:shd w:val="clear" w:color="auto" w:fill="FFFFFF"/>
              </w:rPr>
              <w:t>系统和展会评估体系建设。对我市会展业公共服务信息平台建设维护以及会展业统计分析体系、科学评估体系建设给予扶持。</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(二)支持会展行业加快信息化、智能化建设。对企业运用现代信息技术，开展服务创新、管理创新、市场创新和商业模式创新，发展新型展览业态的给予扶持。</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(三)倡导诚信展览、绿色会展。倡导和支持诚信展览和绿色会展。对获得商务部等国家部委授予“绿色会展示范单位”、“绿色展览展示推广标兵单位”的会展企业，给予10万元一次性扶持资金。</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r w:rsidRPr="003F25EA">
              <w:rPr>
                <w:rFonts w:ascii="微软雅黑" w:eastAsia="微软雅黑" w:hAnsi="微软雅黑" w:cs="宋体" w:hint="eastAsia"/>
                <w:b/>
                <w:bCs/>
                <w:color w:val="363636"/>
                <w:kern w:val="0"/>
                <w:sz w:val="23"/>
                <w:szCs w:val="23"/>
                <w:shd w:val="clear" w:color="auto" w:fill="FFFFFF"/>
              </w:rPr>
              <w:t>四、深化交流合作</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proofErr w:type="gramStart"/>
            <w:r w:rsidRPr="003F25EA">
              <w:rPr>
                <w:rFonts w:ascii="微软雅黑" w:eastAsia="微软雅黑" w:hAnsi="微软雅黑" w:cs="宋体" w:hint="eastAsia"/>
                <w:color w:val="363636"/>
                <w:kern w:val="0"/>
                <w:sz w:val="23"/>
                <w:szCs w:val="23"/>
                <w:shd w:val="clear" w:color="auto" w:fill="FFFFFF"/>
              </w:rPr>
              <w:t>一</w:t>
            </w:r>
            <w:proofErr w:type="gramEnd"/>
            <w:r w:rsidRPr="003F25EA">
              <w:rPr>
                <w:rFonts w:ascii="微软雅黑" w:eastAsia="微软雅黑" w:hAnsi="微软雅黑" w:cs="宋体" w:hint="eastAsia"/>
                <w:color w:val="363636"/>
                <w:kern w:val="0"/>
                <w:sz w:val="23"/>
                <w:szCs w:val="23"/>
                <w:shd w:val="clear" w:color="auto" w:fill="FFFFFF"/>
              </w:rPr>
              <w:t>)加强与国际国内知名会展机构和会展企业的交流合作，鼓励支持会展企业与国际知名会展企业合资、合作，提升我市会展企业的运作水平。</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lastRenderedPageBreak/>
              <w:t xml:space="preserve">　　(二)加强展会宣传推介工作。每年列支一定数额经费，专门用于对我市会展业整体形象进行宣传推介和加强互联互通、深化交流合作工作。</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(三)支持企业外埠参展。对以市政府名义组织企业参加全国性、区域性大型展会所发生的参展费用给予适当补贴。</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r w:rsidRPr="003F25EA">
              <w:rPr>
                <w:rFonts w:ascii="微软雅黑" w:eastAsia="微软雅黑" w:hAnsi="微软雅黑" w:cs="宋体" w:hint="eastAsia"/>
                <w:b/>
                <w:bCs/>
                <w:color w:val="363636"/>
                <w:kern w:val="0"/>
                <w:sz w:val="23"/>
                <w:szCs w:val="23"/>
                <w:shd w:val="clear" w:color="auto" w:fill="FFFFFF"/>
              </w:rPr>
              <w:t>五、推进展馆建设运营</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proofErr w:type="gramStart"/>
            <w:r w:rsidRPr="003F25EA">
              <w:rPr>
                <w:rFonts w:ascii="微软雅黑" w:eastAsia="微软雅黑" w:hAnsi="微软雅黑" w:cs="宋体" w:hint="eastAsia"/>
                <w:color w:val="363636"/>
                <w:kern w:val="0"/>
                <w:sz w:val="23"/>
                <w:szCs w:val="23"/>
                <w:shd w:val="clear" w:color="auto" w:fill="FFFFFF"/>
              </w:rPr>
              <w:t>一</w:t>
            </w:r>
            <w:proofErr w:type="gramEnd"/>
            <w:r w:rsidRPr="003F25EA">
              <w:rPr>
                <w:rFonts w:ascii="微软雅黑" w:eastAsia="微软雅黑" w:hAnsi="微软雅黑" w:cs="宋体" w:hint="eastAsia"/>
                <w:color w:val="363636"/>
                <w:kern w:val="0"/>
                <w:sz w:val="23"/>
                <w:szCs w:val="23"/>
                <w:shd w:val="clear" w:color="auto" w:fill="FFFFFF"/>
              </w:rPr>
              <w:t>)支持在建展馆、会议中心建设和规划筹建现代化国际博览城项目。重点支持在建展馆完善配套服务设施和产业集聚，创新展馆管理模式，提高运营服务水平。</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(二)支持现有专业会展场馆改造提升设施设备，提高服务保障能力。对展馆提升改造项目按一定比例给予扶持，每年最高补贴不超过200万元。</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r w:rsidRPr="003F25EA">
              <w:rPr>
                <w:rFonts w:ascii="微软雅黑" w:eastAsia="微软雅黑" w:hAnsi="微软雅黑" w:cs="宋体" w:hint="eastAsia"/>
                <w:b/>
                <w:bCs/>
                <w:color w:val="363636"/>
                <w:kern w:val="0"/>
                <w:sz w:val="23"/>
                <w:szCs w:val="23"/>
                <w:shd w:val="clear" w:color="auto" w:fill="FFFFFF"/>
              </w:rPr>
              <w:t>六、加强会展人才培养</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proofErr w:type="gramStart"/>
            <w:r w:rsidRPr="003F25EA">
              <w:rPr>
                <w:rFonts w:ascii="微软雅黑" w:eastAsia="微软雅黑" w:hAnsi="微软雅黑" w:cs="宋体" w:hint="eastAsia"/>
                <w:color w:val="363636"/>
                <w:kern w:val="0"/>
                <w:sz w:val="23"/>
                <w:szCs w:val="23"/>
                <w:shd w:val="clear" w:color="auto" w:fill="FFFFFF"/>
              </w:rPr>
              <w:t>一</w:t>
            </w:r>
            <w:proofErr w:type="gramEnd"/>
            <w:r w:rsidRPr="003F25EA">
              <w:rPr>
                <w:rFonts w:ascii="微软雅黑" w:eastAsia="微软雅黑" w:hAnsi="微软雅黑" w:cs="宋体" w:hint="eastAsia"/>
                <w:color w:val="363636"/>
                <w:kern w:val="0"/>
                <w:sz w:val="23"/>
                <w:szCs w:val="23"/>
                <w:shd w:val="clear" w:color="auto" w:fill="FFFFFF"/>
              </w:rPr>
              <w:t>)加强与省内相关院校的合作交流。支持会展企业建立会展人才培训基地，培养适合会展业发展需要的应用型、复合型、国际化人才。</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(二)全面提升会展业从业人员整体素质和水平。每年列支一定数额经费，专门用于支持对会展业从业人员的专业培训。对引进的国际国内会展业专业人才，符合条件的可享受我市人才引进政策。</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w:t>
            </w:r>
            <w:r w:rsidRPr="003F25EA">
              <w:rPr>
                <w:rFonts w:ascii="微软雅黑" w:eastAsia="微软雅黑" w:hAnsi="微软雅黑" w:cs="宋体" w:hint="eastAsia"/>
                <w:b/>
                <w:bCs/>
                <w:color w:val="363636"/>
                <w:kern w:val="0"/>
                <w:sz w:val="23"/>
                <w:szCs w:val="23"/>
                <w:shd w:val="clear" w:color="auto" w:fill="FFFFFF"/>
              </w:rPr>
              <w:t>七、相关规定</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(一)对我市产业结构调整或服务民生的重要展会项目，具有国际、国内重大影响力且规模较大的会议项目和节事类活动，超出上述补贴规定的，经报市政府同意，采取“一事一议”的办法给予补贴。</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t xml:space="preserve">　　(二)相关资金使用管理实施办法由市商务局会同市财政局另行制定。</w:t>
            </w:r>
          </w:p>
          <w:p w:rsidR="003F25EA" w:rsidRPr="003F25EA" w:rsidRDefault="003F25EA" w:rsidP="003F25EA">
            <w:pPr>
              <w:widowControl/>
              <w:spacing w:line="480" w:lineRule="atLeast"/>
              <w:jc w:val="left"/>
              <w:rPr>
                <w:rFonts w:ascii="微软雅黑" w:eastAsia="微软雅黑" w:hAnsi="微软雅黑" w:cs="宋体" w:hint="eastAsia"/>
                <w:color w:val="333333"/>
                <w:kern w:val="0"/>
                <w:sz w:val="23"/>
                <w:szCs w:val="23"/>
              </w:rPr>
            </w:pPr>
            <w:r w:rsidRPr="003F25EA">
              <w:rPr>
                <w:rFonts w:ascii="微软雅黑" w:eastAsia="微软雅黑" w:hAnsi="微软雅黑" w:cs="宋体" w:hint="eastAsia"/>
                <w:color w:val="363636"/>
                <w:kern w:val="0"/>
                <w:sz w:val="23"/>
                <w:szCs w:val="23"/>
                <w:shd w:val="clear" w:color="auto" w:fill="FFFFFF"/>
              </w:rPr>
              <w:lastRenderedPageBreak/>
              <w:t xml:space="preserve">　　(三)本通知自印发之日起施行。</w:t>
            </w:r>
          </w:p>
        </w:tc>
      </w:tr>
    </w:tbl>
    <w:p w:rsidR="00654360" w:rsidRPr="003F25EA" w:rsidRDefault="00654360" w:rsidP="00AD2C88"/>
    <w:sectPr w:rsidR="00654360" w:rsidRPr="003F2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02"/>
    <w:rsid w:val="003F25EA"/>
    <w:rsid w:val="00654360"/>
    <w:rsid w:val="006E0D02"/>
    <w:rsid w:val="00A4624A"/>
    <w:rsid w:val="00AD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E017B-9B3D-40F5-9A73-56D1045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2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624A"/>
    <w:rPr>
      <w:b/>
      <w:bCs/>
    </w:rPr>
  </w:style>
  <w:style w:type="character" w:customStyle="1" w:styleId="apple-converted-space">
    <w:name w:val="apple-converted-space"/>
    <w:basedOn w:val="a0"/>
    <w:rsid w:val="00A4624A"/>
  </w:style>
  <w:style w:type="character" w:styleId="a5">
    <w:name w:val="Hyperlink"/>
    <w:basedOn w:val="a0"/>
    <w:uiPriority w:val="99"/>
    <w:semiHidden/>
    <w:unhideWhenUsed/>
    <w:rsid w:val="00AD2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93797">
      <w:bodyDiv w:val="1"/>
      <w:marLeft w:val="0"/>
      <w:marRight w:val="0"/>
      <w:marTop w:val="0"/>
      <w:marBottom w:val="0"/>
      <w:divBdr>
        <w:top w:val="none" w:sz="0" w:space="0" w:color="auto"/>
        <w:left w:val="none" w:sz="0" w:space="0" w:color="auto"/>
        <w:bottom w:val="none" w:sz="0" w:space="0" w:color="auto"/>
        <w:right w:val="none" w:sz="0" w:space="0" w:color="auto"/>
      </w:divBdr>
    </w:div>
    <w:div w:id="434059960">
      <w:bodyDiv w:val="1"/>
      <w:marLeft w:val="0"/>
      <w:marRight w:val="0"/>
      <w:marTop w:val="0"/>
      <w:marBottom w:val="0"/>
      <w:divBdr>
        <w:top w:val="none" w:sz="0" w:space="0" w:color="auto"/>
        <w:left w:val="none" w:sz="0" w:space="0" w:color="auto"/>
        <w:bottom w:val="none" w:sz="0" w:space="0" w:color="auto"/>
        <w:right w:val="none" w:sz="0" w:space="0" w:color="auto"/>
      </w:divBdr>
      <w:divsChild>
        <w:div w:id="1427774038">
          <w:marLeft w:val="0"/>
          <w:marRight w:val="0"/>
          <w:marTop w:val="0"/>
          <w:marBottom w:val="0"/>
          <w:divBdr>
            <w:top w:val="none" w:sz="0" w:space="0" w:color="auto"/>
            <w:left w:val="none" w:sz="0" w:space="0" w:color="auto"/>
            <w:bottom w:val="none" w:sz="0" w:space="0" w:color="auto"/>
            <w:right w:val="none" w:sz="0" w:space="0" w:color="auto"/>
          </w:divBdr>
        </w:div>
      </w:divsChild>
    </w:div>
    <w:div w:id="1347826899">
      <w:bodyDiv w:val="1"/>
      <w:marLeft w:val="0"/>
      <w:marRight w:val="0"/>
      <w:marTop w:val="0"/>
      <w:marBottom w:val="0"/>
      <w:divBdr>
        <w:top w:val="none" w:sz="0" w:space="0" w:color="auto"/>
        <w:left w:val="none" w:sz="0" w:space="0" w:color="auto"/>
        <w:bottom w:val="none" w:sz="0" w:space="0" w:color="auto"/>
        <w:right w:val="none" w:sz="0" w:space="0" w:color="auto"/>
      </w:divBdr>
      <w:divsChild>
        <w:div w:id="1747261007">
          <w:marLeft w:val="0"/>
          <w:marRight w:val="0"/>
          <w:marTop w:val="0"/>
          <w:marBottom w:val="0"/>
          <w:divBdr>
            <w:top w:val="single" w:sz="6" w:space="15" w:color="2D81E1"/>
            <w:left w:val="single" w:sz="6" w:space="0" w:color="2D81E1"/>
            <w:bottom w:val="none" w:sz="0" w:space="0" w:color="auto"/>
            <w:right w:val="single" w:sz="6" w:space="0" w:color="2D81E1"/>
          </w:divBdr>
        </w:div>
        <w:div w:id="1701930624">
          <w:marLeft w:val="0"/>
          <w:marRight w:val="0"/>
          <w:marTop w:val="0"/>
          <w:marBottom w:val="0"/>
          <w:divBdr>
            <w:top w:val="none" w:sz="0" w:space="0" w:color="auto"/>
            <w:left w:val="single" w:sz="6" w:space="15" w:color="2D81E1"/>
            <w:bottom w:val="single" w:sz="6" w:space="15" w:color="2D81E1"/>
            <w:right w:val="single" w:sz="6" w:space="15" w:color="2D81E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2018-05-15T07:49:00Z</dcterms:created>
  <dcterms:modified xsi:type="dcterms:W3CDTF">2018-05-15T07:49:00Z</dcterms:modified>
</cp:coreProperties>
</file>