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7725A">
      <w:pPr>
        <w:pStyle w:val="4"/>
        <w:divId w:val="1638607556"/>
        <w:rPr>
          <w:lang/>
        </w:rPr>
      </w:pPr>
      <w:r>
        <w:rPr>
          <w:lang/>
        </w:rPr>
        <w:t>韶关市人民政府关于印发韶关</w:t>
      </w:r>
      <w:proofErr w:type="gramStart"/>
      <w:r>
        <w:rPr>
          <w:lang/>
        </w:rPr>
        <w:t>市促进</w:t>
      </w:r>
      <w:proofErr w:type="gramEnd"/>
      <w:r>
        <w:rPr>
          <w:lang/>
        </w:rPr>
        <w:t>新兴支柱产业发展若干措施的通知</w:t>
      </w:r>
      <w:r>
        <w:rPr>
          <w:lang/>
        </w:rPr>
        <w:t>(</w:t>
      </w:r>
      <w:proofErr w:type="gramStart"/>
      <w:r>
        <w:rPr>
          <w:lang/>
        </w:rPr>
        <w:t>韶</w:t>
      </w:r>
      <w:proofErr w:type="gramEnd"/>
      <w:r>
        <w:rPr>
          <w:lang/>
        </w:rPr>
        <w:t>府〔</w:t>
      </w:r>
      <w:r>
        <w:rPr>
          <w:lang/>
        </w:rPr>
        <w:t>2018</w:t>
      </w:r>
      <w:r>
        <w:rPr>
          <w:lang/>
        </w:rPr>
        <w:t>〕</w:t>
      </w:r>
      <w:r>
        <w:rPr>
          <w:lang/>
        </w:rPr>
        <w:t>1</w:t>
      </w:r>
      <w:r>
        <w:rPr>
          <w:lang/>
        </w:rPr>
        <w:t>号</w:t>
      </w:r>
      <w:r>
        <w:rPr>
          <w:lang/>
        </w:rPr>
        <w:t>)</w:t>
      </w:r>
    </w:p>
    <w:p w:rsidR="00000000" w:rsidRDefault="0037725A">
      <w:pPr>
        <w:pStyle w:val="6"/>
        <w:divId w:val="1638607556"/>
        <w:rPr>
          <w:lang/>
        </w:rPr>
      </w:pPr>
      <w:r>
        <w:rPr>
          <w:lang/>
        </w:rPr>
        <w:t>发布时间：</w:t>
      </w:r>
      <w:r>
        <w:rPr>
          <w:lang/>
        </w:rPr>
        <w:t>2018-01-1</w:t>
      </w:r>
      <w:r>
        <w:rPr>
          <w:lang/>
        </w:rPr>
        <w:t>8</w:t>
      </w:r>
      <w:r>
        <w:rPr>
          <w:lang/>
        </w:rPr>
        <w:t xml:space="preserve"> </w:t>
      </w:r>
      <w:r>
        <w:rPr>
          <w:lang/>
        </w:rPr>
        <w:t>字体：</w:t>
      </w:r>
      <w:r>
        <w:rPr>
          <w:lang/>
        </w:rPr>
        <w:t xml:space="preserve">[ </w:t>
      </w:r>
      <w:hyperlink r:id="rId5" w:history="1">
        <w:r>
          <w:rPr>
            <w:rStyle w:val="a3"/>
            <w:lang/>
          </w:rPr>
          <w:t>大</w:t>
        </w:r>
      </w:hyperlink>
      <w:hyperlink r:id="rId6" w:history="1">
        <w:r>
          <w:rPr>
            <w:rStyle w:val="a3"/>
            <w:lang/>
          </w:rPr>
          <w:t>中</w:t>
        </w:r>
      </w:hyperlink>
      <w:hyperlink r:id="rId7" w:history="1">
        <w:r>
          <w:rPr>
            <w:rStyle w:val="a3"/>
            <w:lang/>
          </w:rPr>
          <w:t>小</w:t>
        </w:r>
      </w:hyperlink>
      <w:r>
        <w:rPr>
          <w:lang/>
        </w:rPr>
        <w:t xml:space="preserve"> </w:t>
      </w:r>
      <w:r>
        <w:rPr>
          <w:lang/>
        </w:rPr>
        <w:t>]</w:t>
      </w:r>
      <w:r>
        <w:rPr>
          <w:lang/>
        </w:rPr>
        <w:t xml:space="preserve"> </w:t>
      </w:r>
    </w:p>
    <w:p w:rsidR="00000000" w:rsidRDefault="0037725A">
      <w:pPr>
        <w:wordWrap w:val="0"/>
        <w:spacing w:before="100" w:beforeAutospacing="1" w:after="100" w:afterAutospacing="1" w:line="480" w:lineRule="auto"/>
        <w:divId w:val="1676571013"/>
        <w:rPr>
          <w:lang/>
        </w:rPr>
      </w:pPr>
      <w:r>
        <w:rPr>
          <w:rFonts w:hint="eastAsia"/>
          <w:lang/>
        </w:rPr>
        <w:t>各县（市、区）人民政府，市政府各部门、各直属机构，中省驻</w:t>
      </w:r>
      <w:proofErr w:type="gramStart"/>
      <w:r>
        <w:rPr>
          <w:rFonts w:hint="eastAsia"/>
          <w:lang/>
        </w:rPr>
        <w:t>韶</w:t>
      </w:r>
      <w:proofErr w:type="gramEnd"/>
      <w:r>
        <w:rPr>
          <w:rFonts w:hint="eastAsia"/>
          <w:lang/>
        </w:rPr>
        <w:t>各单位：</w:t>
      </w:r>
    </w:p>
    <w:p w:rsidR="00000000" w:rsidRDefault="0037725A">
      <w:pPr>
        <w:wordWrap w:val="0"/>
        <w:spacing w:before="100" w:beforeAutospacing="1" w:after="100" w:afterAutospacing="1" w:line="480" w:lineRule="auto"/>
        <w:ind w:firstLine="480"/>
        <w:divId w:val="1676571013"/>
        <w:rPr>
          <w:lang/>
        </w:rPr>
      </w:pPr>
      <w:r>
        <w:rPr>
          <w:rFonts w:hint="eastAsia"/>
          <w:lang/>
        </w:rPr>
        <w:t>现将《韶关市促进新兴支柱产业发展若干措施》印发给你们，请认真贯彻执行。</w:t>
      </w:r>
    </w:p>
    <w:p w:rsidR="00000000" w:rsidRDefault="0037725A">
      <w:pPr>
        <w:wordWrap w:val="0"/>
        <w:spacing w:before="100" w:beforeAutospacing="1" w:after="100" w:afterAutospacing="1" w:line="480" w:lineRule="auto"/>
        <w:divId w:val="1676571013"/>
        <w:rPr>
          <w:lang/>
        </w:rPr>
      </w:pPr>
      <w:r>
        <w:rPr>
          <w:rFonts w:hint="eastAsia"/>
        </w:rPr>
        <w:t> </w:t>
      </w:r>
    </w:p>
    <w:p w:rsidR="00000000" w:rsidRDefault="0037725A">
      <w:pPr>
        <w:wordWrap w:val="0"/>
        <w:spacing w:before="100" w:beforeAutospacing="1" w:after="100" w:afterAutospacing="1" w:line="480" w:lineRule="auto"/>
        <w:jc w:val="right"/>
        <w:divId w:val="1676571013"/>
        <w:rPr>
          <w:lang/>
        </w:rPr>
      </w:pPr>
      <w:r>
        <w:rPr>
          <w:rFonts w:hint="eastAsia"/>
          <w:lang/>
        </w:rPr>
        <w:t>韶关市人民政府</w:t>
      </w:r>
    </w:p>
    <w:p w:rsidR="00000000" w:rsidRDefault="0037725A">
      <w:pPr>
        <w:wordWrap w:val="0"/>
        <w:spacing w:before="100" w:beforeAutospacing="1" w:after="100" w:afterAutospacing="1" w:line="480" w:lineRule="auto"/>
        <w:jc w:val="right"/>
        <w:divId w:val="1676571013"/>
        <w:rPr>
          <w:lang/>
        </w:rPr>
      </w:pPr>
      <w:r>
        <w:rPr>
          <w:rFonts w:hint="eastAsia"/>
        </w:rPr>
        <w:t>2018</w:t>
      </w:r>
      <w:r>
        <w:rPr>
          <w:rFonts w:hint="eastAsia"/>
          <w:lang/>
        </w:rPr>
        <w:t>年</w:t>
      </w:r>
      <w:r>
        <w:rPr>
          <w:rFonts w:hint="eastAsia"/>
        </w:rPr>
        <w:t>1</w:t>
      </w:r>
      <w:r>
        <w:rPr>
          <w:rFonts w:hint="eastAsia"/>
          <w:lang/>
        </w:rPr>
        <w:t>月</w:t>
      </w:r>
      <w:r>
        <w:rPr>
          <w:rFonts w:hint="eastAsia"/>
        </w:rPr>
        <w:t>12</w:t>
      </w:r>
      <w:r>
        <w:rPr>
          <w:rFonts w:hint="eastAsia"/>
          <w:lang/>
        </w:rPr>
        <w:t>日</w:t>
      </w:r>
    </w:p>
    <w:p w:rsidR="00000000" w:rsidRDefault="0037725A">
      <w:pPr>
        <w:wordWrap w:val="0"/>
        <w:spacing w:before="100" w:beforeAutospacing="1" w:after="100" w:afterAutospacing="1" w:line="480" w:lineRule="auto"/>
        <w:divId w:val="1676571013"/>
        <w:rPr>
          <w:lang/>
        </w:rPr>
      </w:pPr>
      <w:r>
        <w:rPr>
          <w:rFonts w:hint="eastAsia"/>
        </w:rPr>
        <w:t> </w:t>
      </w:r>
    </w:p>
    <w:p w:rsidR="00000000" w:rsidRDefault="0037725A">
      <w:pPr>
        <w:wordWrap w:val="0"/>
        <w:spacing w:before="100" w:beforeAutospacing="1" w:after="100" w:afterAutospacing="1" w:line="480" w:lineRule="auto"/>
        <w:jc w:val="center"/>
        <w:divId w:val="1676571013"/>
        <w:rPr>
          <w:lang/>
        </w:rPr>
      </w:pPr>
      <w:r>
        <w:rPr>
          <w:rFonts w:hint="eastAsia"/>
          <w:lang/>
        </w:rPr>
        <w:t>韶关</w:t>
      </w:r>
      <w:proofErr w:type="gramStart"/>
      <w:r>
        <w:rPr>
          <w:rFonts w:hint="eastAsia"/>
          <w:lang/>
        </w:rPr>
        <w:t>市促进</w:t>
      </w:r>
      <w:proofErr w:type="gramEnd"/>
      <w:r>
        <w:rPr>
          <w:rFonts w:hint="eastAsia"/>
          <w:lang/>
        </w:rPr>
        <w:t>新兴支柱产业发展若干措施</w:t>
      </w:r>
    </w:p>
    <w:p w:rsidR="00000000" w:rsidRDefault="0037725A">
      <w:pPr>
        <w:wordWrap w:val="0"/>
        <w:spacing w:before="100" w:beforeAutospacing="1" w:after="100" w:afterAutospacing="1" w:line="480" w:lineRule="auto"/>
        <w:divId w:val="1676571013"/>
        <w:rPr>
          <w:lang/>
        </w:rPr>
      </w:pPr>
      <w:r>
        <w:rPr>
          <w:rFonts w:hint="eastAsia"/>
        </w:rPr>
        <w:t> </w:t>
      </w:r>
    </w:p>
    <w:p w:rsidR="00000000" w:rsidRDefault="0037725A">
      <w:pPr>
        <w:wordWrap w:val="0"/>
        <w:spacing w:before="100" w:beforeAutospacing="1" w:after="100" w:afterAutospacing="1" w:line="480" w:lineRule="auto"/>
        <w:ind w:firstLine="480"/>
        <w:divId w:val="1676571013"/>
        <w:rPr>
          <w:lang/>
        </w:rPr>
      </w:pPr>
      <w:r>
        <w:rPr>
          <w:rFonts w:hint="eastAsia"/>
          <w:lang/>
        </w:rPr>
        <w:t>根据中共韶关市委十二届四次全会有关决定，为促进我市新兴支柱产业招商引资和产业发展，坚持增量与存量并重、规模与效益并重，形成高增长、高质量的新兴产业集群，特制定如下措施。</w:t>
      </w:r>
    </w:p>
    <w:p w:rsidR="00000000" w:rsidRDefault="0037725A">
      <w:pPr>
        <w:wordWrap w:val="0"/>
        <w:spacing w:before="100" w:beforeAutospacing="1" w:after="100" w:afterAutospacing="1" w:line="480" w:lineRule="auto"/>
        <w:ind w:firstLine="480"/>
        <w:divId w:val="1676571013"/>
        <w:rPr>
          <w:lang/>
        </w:rPr>
      </w:pPr>
      <w:r>
        <w:rPr>
          <w:rFonts w:hint="eastAsia"/>
          <w:lang/>
        </w:rPr>
        <w:t>一、适用对象</w:t>
      </w:r>
    </w:p>
    <w:p w:rsidR="00000000" w:rsidRDefault="0037725A">
      <w:pPr>
        <w:wordWrap w:val="0"/>
        <w:spacing w:before="100" w:beforeAutospacing="1" w:after="100" w:afterAutospacing="1" w:line="480" w:lineRule="auto"/>
        <w:ind w:firstLine="480"/>
        <w:divId w:val="1676571013"/>
        <w:rPr>
          <w:lang/>
        </w:rPr>
      </w:pPr>
      <w:r>
        <w:rPr>
          <w:rFonts w:hint="eastAsia"/>
          <w:lang/>
        </w:rPr>
        <w:t>（一）适用企业。本文件适用于中共韶关市委十二届四次全会确定的先进装备制造、旅游文化、大数据、商贸物流、医药健康、现代特色农业等六大“新兴支柱产业”内的我市企业，包括在本文件有效期内新设企业和本文件生效前已经开业经营的原有企业。</w:t>
      </w:r>
    </w:p>
    <w:p w:rsidR="00000000" w:rsidRDefault="0037725A">
      <w:pPr>
        <w:wordWrap w:val="0"/>
        <w:spacing w:before="100" w:beforeAutospacing="1" w:after="100" w:afterAutospacing="1" w:line="480" w:lineRule="auto"/>
        <w:ind w:firstLine="480"/>
        <w:divId w:val="1676571013"/>
        <w:rPr>
          <w:lang/>
        </w:rPr>
      </w:pPr>
      <w:r>
        <w:rPr>
          <w:rFonts w:hint="eastAsia"/>
          <w:lang/>
        </w:rPr>
        <w:t>（二）适用项目。本文件适用于新设企业的投资新建项目，以及原有企业在本文件有效期内的增资扩产项目，二者</w:t>
      </w:r>
      <w:r>
        <w:rPr>
          <w:rFonts w:hint="eastAsia"/>
          <w:lang/>
        </w:rPr>
        <w:t>均为投资项目。优先支持投资金额大于（含等于，下同）</w:t>
      </w:r>
      <w:r>
        <w:rPr>
          <w:rFonts w:hint="eastAsia"/>
        </w:rPr>
        <w:t>3000</w:t>
      </w:r>
      <w:r>
        <w:rPr>
          <w:rFonts w:hint="eastAsia"/>
          <w:lang/>
        </w:rPr>
        <w:t>万元、营业收入大于</w:t>
      </w:r>
      <w:r>
        <w:rPr>
          <w:rFonts w:hint="eastAsia"/>
        </w:rPr>
        <w:t>1</w:t>
      </w:r>
      <w:r>
        <w:rPr>
          <w:rFonts w:hint="eastAsia"/>
          <w:lang/>
        </w:rPr>
        <w:t>亿元、年度地方财政贡献大于</w:t>
      </w:r>
      <w:r>
        <w:rPr>
          <w:rFonts w:hint="eastAsia"/>
        </w:rPr>
        <w:t>100</w:t>
      </w:r>
      <w:r>
        <w:rPr>
          <w:rFonts w:hint="eastAsia"/>
          <w:lang/>
        </w:rPr>
        <w:t>万元的投资项目。投资金额大于</w:t>
      </w:r>
      <w:r>
        <w:rPr>
          <w:rFonts w:hint="eastAsia"/>
        </w:rPr>
        <w:t>5</w:t>
      </w:r>
      <w:r>
        <w:rPr>
          <w:rFonts w:hint="eastAsia"/>
          <w:lang/>
        </w:rPr>
        <w:t>亿元、营业收入大于</w:t>
      </w:r>
      <w:r>
        <w:rPr>
          <w:rFonts w:hint="eastAsia"/>
        </w:rPr>
        <w:t>15</w:t>
      </w:r>
      <w:r>
        <w:rPr>
          <w:rFonts w:hint="eastAsia"/>
          <w:lang/>
        </w:rPr>
        <w:t>亿元、年度地方财政贡献大于</w:t>
      </w:r>
      <w:r>
        <w:rPr>
          <w:rFonts w:hint="eastAsia"/>
        </w:rPr>
        <w:t>1500</w:t>
      </w:r>
      <w:r>
        <w:rPr>
          <w:rFonts w:hint="eastAsia"/>
          <w:lang/>
        </w:rPr>
        <w:t>万元的重大投资项目，可采取“一事一议”的方式给予特殊政策支持。</w:t>
      </w:r>
    </w:p>
    <w:p w:rsidR="00000000" w:rsidRDefault="0037725A">
      <w:pPr>
        <w:wordWrap w:val="0"/>
        <w:spacing w:before="100" w:beforeAutospacing="1" w:after="100" w:afterAutospacing="1" w:line="480" w:lineRule="auto"/>
        <w:ind w:firstLine="480"/>
        <w:divId w:val="1676571013"/>
        <w:rPr>
          <w:lang/>
        </w:rPr>
      </w:pPr>
      <w:r>
        <w:rPr>
          <w:rFonts w:hint="eastAsia"/>
          <w:lang/>
        </w:rPr>
        <w:t>二、投资落户奖励</w:t>
      </w:r>
    </w:p>
    <w:p w:rsidR="00000000" w:rsidRDefault="0037725A">
      <w:pPr>
        <w:wordWrap w:val="0"/>
        <w:spacing w:before="100" w:beforeAutospacing="1" w:after="100" w:afterAutospacing="1" w:line="480" w:lineRule="auto"/>
        <w:ind w:firstLine="480"/>
        <w:divId w:val="1676571013"/>
        <w:rPr>
          <w:lang/>
        </w:rPr>
      </w:pPr>
      <w:r>
        <w:rPr>
          <w:rFonts w:hint="eastAsia"/>
          <w:lang/>
        </w:rPr>
        <w:t>（三）固定资产投资奖励。我市新兴支柱产业的投资项目，完成固定资产投资</w:t>
      </w:r>
      <w:r>
        <w:rPr>
          <w:rFonts w:hint="eastAsia"/>
        </w:rPr>
        <w:t>3000</w:t>
      </w:r>
      <w:r>
        <w:rPr>
          <w:rFonts w:hint="eastAsia"/>
          <w:lang/>
        </w:rPr>
        <w:t>万元以上</w:t>
      </w:r>
      <w:proofErr w:type="gramStart"/>
      <w:r>
        <w:rPr>
          <w:rFonts w:hint="eastAsia"/>
          <w:lang/>
        </w:rPr>
        <w:t>且建成</w:t>
      </w:r>
      <w:proofErr w:type="gramEnd"/>
      <w:r>
        <w:rPr>
          <w:rFonts w:hint="eastAsia"/>
          <w:lang/>
        </w:rPr>
        <w:t>投产，纳入固定资产投资统计，按其固定资产投资金额的</w:t>
      </w:r>
      <w:r>
        <w:rPr>
          <w:rFonts w:hint="eastAsia"/>
        </w:rPr>
        <w:t>1%</w:t>
      </w:r>
      <w:r>
        <w:rPr>
          <w:rFonts w:hint="eastAsia"/>
          <w:lang/>
        </w:rPr>
        <w:t>给予项目企业一次性奖励，最高不超过</w:t>
      </w:r>
      <w:r>
        <w:rPr>
          <w:rFonts w:hint="eastAsia"/>
        </w:rPr>
        <w:t>500</w:t>
      </w:r>
      <w:r>
        <w:rPr>
          <w:rFonts w:hint="eastAsia"/>
          <w:lang/>
        </w:rPr>
        <w:t>万元。〔市发改局、各县（市、区）人民政府负责〕</w:t>
      </w:r>
    </w:p>
    <w:p w:rsidR="00000000" w:rsidRDefault="0037725A">
      <w:pPr>
        <w:wordWrap w:val="0"/>
        <w:spacing w:before="100" w:beforeAutospacing="1" w:after="100" w:afterAutospacing="1" w:line="480" w:lineRule="auto"/>
        <w:ind w:firstLine="480"/>
        <w:divId w:val="1676571013"/>
        <w:rPr>
          <w:lang/>
        </w:rPr>
      </w:pPr>
      <w:r>
        <w:rPr>
          <w:rFonts w:hint="eastAsia"/>
          <w:lang/>
        </w:rPr>
        <w:t>（四）优质项目叠加奖励。获得第（三）条奖励的项目符合以下情况之一，包括投资方为世界</w:t>
      </w:r>
      <w:r>
        <w:rPr>
          <w:rFonts w:hint="eastAsia"/>
        </w:rPr>
        <w:t>500</w:t>
      </w:r>
      <w:r>
        <w:rPr>
          <w:rFonts w:hint="eastAsia"/>
          <w:lang/>
        </w:rPr>
        <w:t>强、中国</w:t>
      </w:r>
      <w:r>
        <w:rPr>
          <w:rFonts w:hint="eastAsia"/>
        </w:rPr>
        <w:t>500</w:t>
      </w:r>
      <w:r>
        <w:rPr>
          <w:rFonts w:hint="eastAsia"/>
          <w:lang/>
        </w:rPr>
        <w:t>强等综合排名入围的总部企业，或为国家级行业排名前</w:t>
      </w:r>
      <w:r>
        <w:rPr>
          <w:rFonts w:hint="eastAsia"/>
        </w:rPr>
        <w:t>5</w:t>
      </w:r>
      <w:r>
        <w:rPr>
          <w:rFonts w:hint="eastAsia"/>
          <w:lang/>
        </w:rPr>
        <w:t>位的行业领军企业，省级以上高新技术企业整体转移或投资，随项目引进省级以上认定的高端人才团队，随项目引进省级以上技术研发机构和服务平台等，再按其固定资产投资金额的</w:t>
      </w:r>
      <w:r>
        <w:rPr>
          <w:rFonts w:hint="eastAsia"/>
        </w:rPr>
        <w:t>1%</w:t>
      </w:r>
      <w:r>
        <w:rPr>
          <w:rFonts w:hint="eastAsia"/>
          <w:lang/>
        </w:rPr>
        <w:t>给予项目企业叠加奖励，最高不超过</w:t>
      </w:r>
      <w:r>
        <w:rPr>
          <w:rFonts w:hint="eastAsia"/>
        </w:rPr>
        <w:t>500</w:t>
      </w:r>
      <w:r>
        <w:rPr>
          <w:rFonts w:hint="eastAsia"/>
          <w:lang/>
        </w:rPr>
        <w:t>万元。〔市发改局、各县（市、区）人民政府负责，市科技局、市人社局协助〕</w:t>
      </w:r>
    </w:p>
    <w:p w:rsidR="00000000" w:rsidRDefault="0037725A">
      <w:pPr>
        <w:wordWrap w:val="0"/>
        <w:spacing w:before="100" w:beforeAutospacing="1" w:after="100" w:afterAutospacing="1" w:line="480" w:lineRule="auto"/>
        <w:ind w:firstLine="480"/>
        <w:divId w:val="1676571013"/>
        <w:rPr>
          <w:lang/>
        </w:rPr>
      </w:pPr>
      <w:r>
        <w:rPr>
          <w:rFonts w:hint="eastAsia"/>
          <w:lang/>
        </w:rPr>
        <w:t>（五）项目引荐奖励。积极拓展招商网络，鼓励各级招商工作部门委托中介机构开展招商，试行聘</w:t>
      </w:r>
      <w:r>
        <w:rPr>
          <w:rFonts w:hint="eastAsia"/>
          <w:lang/>
        </w:rPr>
        <w:t>请个人担任招商顾问。受委托开展招商的机构和个人，引荐项目获得第（三）条奖励的，经委</w:t>
      </w:r>
      <w:proofErr w:type="gramStart"/>
      <w:r>
        <w:rPr>
          <w:rFonts w:hint="eastAsia"/>
          <w:lang/>
        </w:rPr>
        <w:t>托单位</w:t>
      </w:r>
      <w:proofErr w:type="gramEnd"/>
      <w:r>
        <w:rPr>
          <w:rFonts w:hint="eastAsia"/>
          <w:lang/>
        </w:rPr>
        <w:t>认定后，按投资金额的</w:t>
      </w:r>
      <w:r>
        <w:rPr>
          <w:rFonts w:hint="eastAsia"/>
        </w:rPr>
        <w:t>0.1%</w:t>
      </w:r>
      <w:r>
        <w:rPr>
          <w:rFonts w:hint="eastAsia"/>
          <w:lang/>
        </w:rPr>
        <w:t>给予项目引荐人一次性奖励，最高不超过</w:t>
      </w:r>
      <w:r>
        <w:rPr>
          <w:rFonts w:hint="eastAsia"/>
        </w:rPr>
        <w:t>50</w:t>
      </w:r>
      <w:r>
        <w:rPr>
          <w:rFonts w:hint="eastAsia"/>
          <w:lang/>
        </w:rPr>
        <w:t>万元。引荐项目获得第（四）条奖励的，再按投资金额的</w:t>
      </w:r>
      <w:r>
        <w:rPr>
          <w:rFonts w:hint="eastAsia"/>
        </w:rPr>
        <w:t>0.1%</w:t>
      </w:r>
      <w:r>
        <w:rPr>
          <w:rFonts w:hint="eastAsia"/>
          <w:lang/>
        </w:rPr>
        <w:t>给予项目引荐人叠加奖励，最高不超过</w:t>
      </w:r>
      <w:r>
        <w:rPr>
          <w:rFonts w:hint="eastAsia"/>
        </w:rPr>
        <w:t>100</w:t>
      </w:r>
      <w:r>
        <w:rPr>
          <w:rFonts w:hint="eastAsia"/>
          <w:lang/>
        </w:rPr>
        <w:t>万元。对未事先接受委托的投资项目引荐人，经招商工作部门审核认定后，可以参照本条给予适当奖励。〔市商务局、各县（市、区）人民政府负责〕</w:t>
      </w:r>
    </w:p>
    <w:p w:rsidR="00000000" w:rsidRDefault="0037725A">
      <w:pPr>
        <w:wordWrap w:val="0"/>
        <w:spacing w:before="100" w:beforeAutospacing="1" w:after="100" w:afterAutospacing="1" w:line="480" w:lineRule="auto"/>
        <w:ind w:firstLine="480"/>
        <w:divId w:val="1676571013"/>
        <w:rPr>
          <w:lang/>
        </w:rPr>
      </w:pPr>
      <w:r>
        <w:rPr>
          <w:rFonts w:hint="eastAsia"/>
          <w:lang/>
        </w:rPr>
        <w:t>三、财政贡献奖励</w:t>
      </w:r>
    </w:p>
    <w:p w:rsidR="00000000" w:rsidRDefault="0037725A">
      <w:pPr>
        <w:wordWrap w:val="0"/>
        <w:spacing w:before="100" w:beforeAutospacing="1" w:after="100" w:afterAutospacing="1" w:line="480" w:lineRule="auto"/>
        <w:ind w:firstLine="480"/>
        <w:divId w:val="1676571013"/>
        <w:rPr>
          <w:lang/>
        </w:rPr>
      </w:pPr>
      <w:r>
        <w:rPr>
          <w:rFonts w:hint="eastAsia"/>
          <w:lang/>
        </w:rPr>
        <w:t>（六）新设企业财政贡献奖励。我市新兴支柱产业的新设企业，纳入规模以上企业统计，且年度地方财政贡献大于</w:t>
      </w:r>
      <w:r>
        <w:rPr>
          <w:rFonts w:hint="eastAsia"/>
        </w:rPr>
        <w:t>100</w:t>
      </w:r>
      <w:r>
        <w:rPr>
          <w:rFonts w:hint="eastAsia"/>
          <w:lang/>
        </w:rPr>
        <w:t>万元，按其地方财政贡献金额的</w:t>
      </w:r>
      <w:r>
        <w:rPr>
          <w:rFonts w:hint="eastAsia"/>
        </w:rPr>
        <w:t>30%</w:t>
      </w:r>
      <w:r>
        <w:rPr>
          <w:rFonts w:hint="eastAsia"/>
          <w:lang/>
        </w:rPr>
        <w:t>给予奖励，最高不超过</w:t>
      </w:r>
      <w:r>
        <w:rPr>
          <w:rFonts w:hint="eastAsia"/>
        </w:rPr>
        <w:t>500</w:t>
      </w:r>
      <w:r>
        <w:rPr>
          <w:rFonts w:hint="eastAsia"/>
          <w:lang/>
        </w:rPr>
        <w:t>万元，连续三年适用奖励条件。〔市财政局、各县（市、区）人民政府负责，市统计局、市国税局协助〕</w:t>
      </w:r>
    </w:p>
    <w:p w:rsidR="00000000" w:rsidRDefault="0037725A">
      <w:pPr>
        <w:wordWrap w:val="0"/>
        <w:spacing w:before="100" w:beforeAutospacing="1" w:after="100" w:afterAutospacing="1" w:line="480" w:lineRule="auto"/>
        <w:ind w:firstLine="480"/>
        <w:divId w:val="1676571013"/>
        <w:rPr>
          <w:lang/>
        </w:rPr>
      </w:pPr>
      <w:r>
        <w:rPr>
          <w:rFonts w:hint="eastAsia"/>
          <w:lang/>
        </w:rPr>
        <w:t>（七）原有企业增长贡献奖励。鼓励我市新兴支柱产业的原有企业增资扩产和提高效益，其年度地方财政贡献同比增长</w:t>
      </w:r>
      <w:r>
        <w:rPr>
          <w:rFonts w:hint="eastAsia"/>
        </w:rPr>
        <w:t>10%</w:t>
      </w:r>
      <w:r>
        <w:rPr>
          <w:rFonts w:hint="eastAsia"/>
          <w:lang/>
        </w:rPr>
        <w:t>以上，且增幅金额大于</w:t>
      </w:r>
      <w:r>
        <w:rPr>
          <w:rFonts w:hint="eastAsia"/>
        </w:rPr>
        <w:t>100</w:t>
      </w:r>
      <w:r>
        <w:rPr>
          <w:rFonts w:hint="eastAsia"/>
          <w:lang/>
        </w:rPr>
        <w:t>万元，按其增幅金额的</w:t>
      </w:r>
      <w:r>
        <w:rPr>
          <w:rFonts w:hint="eastAsia"/>
        </w:rPr>
        <w:t>30%</w:t>
      </w:r>
      <w:r>
        <w:rPr>
          <w:rFonts w:hint="eastAsia"/>
          <w:lang/>
        </w:rPr>
        <w:t>给予奖励，最高不超过</w:t>
      </w:r>
      <w:r>
        <w:rPr>
          <w:rFonts w:hint="eastAsia"/>
        </w:rPr>
        <w:t>500</w:t>
      </w:r>
      <w:r>
        <w:rPr>
          <w:rFonts w:hint="eastAsia"/>
          <w:lang/>
        </w:rPr>
        <w:t>万元，连续三年适用奖励条件。〔市财政局、各县（市、区）人民政府负责，市国税局协助〕</w:t>
      </w:r>
    </w:p>
    <w:p w:rsidR="00000000" w:rsidRDefault="0037725A">
      <w:pPr>
        <w:wordWrap w:val="0"/>
        <w:spacing w:before="100" w:beforeAutospacing="1" w:after="100" w:afterAutospacing="1" w:line="480" w:lineRule="auto"/>
        <w:ind w:firstLine="480"/>
        <w:divId w:val="1676571013"/>
        <w:rPr>
          <w:lang/>
        </w:rPr>
      </w:pPr>
      <w:r>
        <w:rPr>
          <w:rFonts w:hint="eastAsia"/>
          <w:lang/>
        </w:rPr>
        <w:t>（八）总部企业汇总纳税奖励。经市认定的总部企业（总部管理</w:t>
      </w:r>
      <w:r>
        <w:rPr>
          <w:rFonts w:hint="eastAsia"/>
        </w:rPr>
        <w:t>2</w:t>
      </w:r>
      <w:r>
        <w:rPr>
          <w:rFonts w:hint="eastAsia"/>
          <w:lang/>
        </w:rPr>
        <w:t>家以上市外分支机构并汇总缴纳</w:t>
      </w:r>
      <w:r>
        <w:rPr>
          <w:rFonts w:hint="eastAsia"/>
          <w:lang/>
        </w:rPr>
        <w:t>企业所得税），获得第（七）条奖励的，按其增幅金额的</w:t>
      </w:r>
      <w:r>
        <w:rPr>
          <w:rFonts w:hint="eastAsia"/>
        </w:rPr>
        <w:t>20%</w:t>
      </w:r>
      <w:r>
        <w:rPr>
          <w:rFonts w:hint="eastAsia"/>
          <w:lang/>
        </w:rPr>
        <w:t>给予叠加奖励，最高不超过</w:t>
      </w:r>
      <w:r>
        <w:rPr>
          <w:rFonts w:hint="eastAsia"/>
        </w:rPr>
        <w:t>300</w:t>
      </w:r>
      <w:r>
        <w:rPr>
          <w:rFonts w:hint="eastAsia"/>
          <w:lang/>
        </w:rPr>
        <w:t>万元，连续三年适用奖励条件。〔市发改局、各县（市、区）人民政府负责，市财政局、市国税局协助〕</w:t>
      </w:r>
    </w:p>
    <w:p w:rsidR="00000000" w:rsidRDefault="0037725A">
      <w:pPr>
        <w:wordWrap w:val="0"/>
        <w:spacing w:before="100" w:beforeAutospacing="1" w:after="100" w:afterAutospacing="1" w:line="480" w:lineRule="auto"/>
        <w:ind w:firstLine="480"/>
        <w:divId w:val="1676571013"/>
        <w:rPr>
          <w:lang/>
        </w:rPr>
      </w:pPr>
      <w:r>
        <w:rPr>
          <w:rFonts w:hint="eastAsia"/>
          <w:lang/>
        </w:rPr>
        <w:t>四、项目融资扶持</w:t>
      </w:r>
    </w:p>
    <w:p w:rsidR="00000000" w:rsidRDefault="0037725A">
      <w:pPr>
        <w:wordWrap w:val="0"/>
        <w:spacing w:before="100" w:beforeAutospacing="1" w:after="100" w:afterAutospacing="1" w:line="480" w:lineRule="auto"/>
        <w:ind w:firstLine="480"/>
        <w:divId w:val="1676571013"/>
        <w:rPr>
          <w:lang/>
        </w:rPr>
      </w:pPr>
      <w:r>
        <w:rPr>
          <w:rFonts w:hint="eastAsia"/>
          <w:lang/>
        </w:rPr>
        <w:t>（九）股权投资扶持。政府主导设立的产业发展股权投资基金、高新技术风险投资基金等政策性基金，要优先投资于新兴支柱产业领域的</w:t>
      </w:r>
      <w:proofErr w:type="gramStart"/>
      <w:r>
        <w:rPr>
          <w:rFonts w:hint="eastAsia"/>
          <w:lang/>
        </w:rPr>
        <w:t>子基金</w:t>
      </w:r>
      <w:proofErr w:type="gramEnd"/>
      <w:r>
        <w:rPr>
          <w:rFonts w:hint="eastAsia"/>
          <w:lang/>
        </w:rPr>
        <w:t>和产业项目，优先推荐基金投资项目公开上市，对成功上市交易给予最高</w:t>
      </w:r>
      <w:r>
        <w:rPr>
          <w:rFonts w:hint="eastAsia"/>
        </w:rPr>
        <w:t>100</w:t>
      </w:r>
      <w:r>
        <w:rPr>
          <w:rFonts w:hint="eastAsia"/>
          <w:lang/>
        </w:rPr>
        <w:t>万元奖励，基金退出项目时归属于政府的投资收益向项目企业让利</w:t>
      </w:r>
      <w:r>
        <w:rPr>
          <w:rFonts w:hint="eastAsia"/>
        </w:rPr>
        <w:t>50%</w:t>
      </w:r>
      <w:r>
        <w:rPr>
          <w:rFonts w:hint="eastAsia"/>
          <w:lang/>
        </w:rPr>
        <w:t>。〔市金融局、基金主管部门、各县（市、区）人民政府负责</w:t>
      </w:r>
      <w:r>
        <w:rPr>
          <w:rFonts w:hint="eastAsia"/>
          <w:lang/>
        </w:rPr>
        <w:t>〕</w:t>
      </w:r>
    </w:p>
    <w:p w:rsidR="00000000" w:rsidRDefault="0037725A">
      <w:pPr>
        <w:wordWrap w:val="0"/>
        <w:spacing w:before="100" w:beforeAutospacing="1" w:after="100" w:afterAutospacing="1" w:line="480" w:lineRule="auto"/>
        <w:ind w:firstLine="480"/>
        <w:divId w:val="1676571013"/>
        <w:rPr>
          <w:lang/>
        </w:rPr>
      </w:pPr>
      <w:r>
        <w:rPr>
          <w:rFonts w:hint="eastAsia"/>
          <w:lang/>
        </w:rPr>
        <w:t>（十）贷款贴息扶持。市中小企业贷款风险补偿基金、市工业企业技术改造贷款风险补偿基金优先支持新兴支柱产业贷款项目，对中小</w:t>
      </w:r>
      <w:proofErr w:type="gramStart"/>
      <w:r>
        <w:rPr>
          <w:rFonts w:hint="eastAsia"/>
          <w:lang/>
        </w:rPr>
        <w:t>微企业</w:t>
      </w:r>
      <w:proofErr w:type="gramEnd"/>
      <w:r>
        <w:rPr>
          <w:rFonts w:hint="eastAsia"/>
          <w:lang/>
        </w:rPr>
        <w:t>向商业银行和小额贷款公司贷款总额不超过</w:t>
      </w:r>
      <w:r>
        <w:rPr>
          <w:rFonts w:hint="eastAsia"/>
        </w:rPr>
        <w:t>2000</w:t>
      </w:r>
      <w:r>
        <w:rPr>
          <w:rFonts w:hint="eastAsia"/>
          <w:lang/>
        </w:rPr>
        <w:t>万元的部分在贷款期限内每年给予</w:t>
      </w:r>
      <w:r>
        <w:rPr>
          <w:rFonts w:hint="eastAsia"/>
        </w:rPr>
        <w:t>1.5%</w:t>
      </w:r>
      <w:r>
        <w:rPr>
          <w:rFonts w:hint="eastAsia"/>
          <w:lang/>
        </w:rPr>
        <w:t>贴息，同时对其向政策性融资担保机构支付的担保费率在贷款担保期限内每年给予</w:t>
      </w:r>
      <w:r>
        <w:rPr>
          <w:rFonts w:hint="eastAsia"/>
        </w:rPr>
        <w:t>0.5%</w:t>
      </w:r>
      <w:r>
        <w:rPr>
          <w:rFonts w:hint="eastAsia"/>
          <w:lang/>
        </w:rPr>
        <w:t>补贴，努力推动解决中小企业融资难问题。〔市经信局、市金融局、各县（市、区）人民政府负责〕</w:t>
      </w:r>
    </w:p>
    <w:p w:rsidR="00000000" w:rsidRDefault="0037725A">
      <w:pPr>
        <w:wordWrap w:val="0"/>
        <w:spacing w:before="100" w:beforeAutospacing="1" w:after="100" w:afterAutospacing="1" w:line="480" w:lineRule="auto"/>
        <w:ind w:firstLine="480"/>
        <w:divId w:val="1676571013"/>
        <w:rPr>
          <w:lang/>
        </w:rPr>
      </w:pPr>
      <w:r>
        <w:rPr>
          <w:rFonts w:hint="eastAsia"/>
          <w:lang/>
        </w:rPr>
        <w:t>五、技术创新支持</w:t>
      </w:r>
    </w:p>
    <w:p w:rsidR="00000000" w:rsidRDefault="0037725A">
      <w:pPr>
        <w:wordWrap w:val="0"/>
        <w:spacing w:before="100" w:beforeAutospacing="1" w:after="100" w:afterAutospacing="1" w:line="480" w:lineRule="auto"/>
        <w:ind w:firstLine="480"/>
        <w:divId w:val="1676571013"/>
        <w:rPr>
          <w:lang/>
        </w:rPr>
      </w:pPr>
      <w:r>
        <w:rPr>
          <w:rFonts w:hint="eastAsia"/>
          <w:lang/>
        </w:rPr>
        <w:t>（十一）支持开展研发活动。市财政每年统筹安排</w:t>
      </w:r>
      <w:r>
        <w:rPr>
          <w:rFonts w:hint="eastAsia"/>
        </w:rPr>
        <w:t>1</w:t>
      </w:r>
      <w:r>
        <w:rPr>
          <w:rFonts w:hint="eastAsia"/>
          <w:lang/>
        </w:rPr>
        <w:t>亿元科技专项资金，优先支持新兴支柱产业领域的产学研合作、关键共性技术攻关，组织实施重大科技专项、引导企业扩大研发投入等。实施“</w:t>
      </w:r>
      <w:r>
        <w:rPr>
          <w:rFonts w:hint="eastAsia"/>
        </w:rPr>
        <w:t>100</w:t>
      </w:r>
      <w:r>
        <w:rPr>
          <w:rFonts w:hint="eastAsia"/>
          <w:lang/>
        </w:rPr>
        <w:t>家科技型企业三年倍增计划”，对科技型高成长型企业给予重点服务与扶持。（市科技局负责，市财政局协助）</w:t>
      </w:r>
    </w:p>
    <w:p w:rsidR="00000000" w:rsidRDefault="0037725A">
      <w:pPr>
        <w:wordWrap w:val="0"/>
        <w:spacing w:before="100" w:beforeAutospacing="1" w:after="100" w:afterAutospacing="1" w:line="480" w:lineRule="auto"/>
        <w:ind w:firstLine="480"/>
        <w:divId w:val="1676571013"/>
        <w:rPr>
          <w:lang/>
        </w:rPr>
      </w:pPr>
      <w:r>
        <w:rPr>
          <w:rFonts w:hint="eastAsia"/>
          <w:lang/>
        </w:rPr>
        <w:t>（十二）支持建设创新平台。企业设立工程技术研发中心，按市级、省级、国家级分别给予</w:t>
      </w:r>
      <w:r>
        <w:rPr>
          <w:rFonts w:hint="eastAsia"/>
        </w:rPr>
        <w:t>10</w:t>
      </w:r>
      <w:r>
        <w:rPr>
          <w:rFonts w:hint="eastAsia"/>
          <w:lang/>
        </w:rPr>
        <w:t>万元、</w:t>
      </w:r>
      <w:r>
        <w:rPr>
          <w:rFonts w:hint="eastAsia"/>
        </w:rPr>
        <w:t>20</w:t>
      </w:r>
      <w:r>
        <w:rPr>
          <w:rFonts w:hint="eastAsia"/>
          <w:lang/>
        </w:rPr>
        <w:t>万元、</w:t>
      </w:r>
      <w:r>
        <w:rPr>
          <w:rFonts w:hint="eastAsia"/>
        </w:rPr>
        <w:t>100</w:t>
      </w:r>
      <w:r>
        <w:rPr>
          <w:rFonts w:hint="eastAsia"/>
          <w:lang/>
        </w:rPr>
        <w:t>万元奖补。设立企业科技特派员工作站、院士工作站、企业研究院，分别给予</w:t>
      </w:r>
      <w:r>
        <w:rPr>
          <w:rFonts w:hint="eastAsia"/>
        </w:rPr>
        <w:t>50</w:t>
      </w:r>
      <w:r>
        <w:rPr>
          <w:rFonts w:hint="eastAsia"/>
          <w:lang/>
        </w:rPr>
        <w:t>万元、</w:t>
      </w:r>
      <w:r>
        <w:rPr>
          <w:rFonts w:hint="eastAsia"/>
        </w:rPr>
        <w:t>100</w:t>
      </w:r>
      <w:r>
        <w:rPr>
          <w:rFonts w:hint="eastAsia"/>
          <w:lang/>
        </w:rPr>
        <w:t>万元、</w:t>
      </w:r>
      <w:r>
        <w:rPr>
          <w:rFonts w:hint="eastAsia"/>
        </w:rPr>
        <w:t>200</w:t>
      </w:r>
      <w:r>
        <w:rPr>
          <w:rFonts w:hint="eastAsia"/>
          <w:lang/>
        </w:rPr>
        <w:t>万元奖补。认定省级企业重点实验室、国家级企业重点实验室，分别给予</w:t>
      </w:r>
      <w:r>
        <w:rPr>
          <w:rFonts w:hint="eastAsia"/>
        </w:rPr>
        <w:t>300</w:t>
      </w:r>
      <w:r>
        <w:rPr>
          <w:rFonts w:hint="eastAsia"/>
          <w:lang/>
        </w:rPr>
        <w:t>万元、</w:t>
      </w:r>
      <w:r>
        <w:rPr>
          <w:rFonts w:hint="eastAsia"/>
        </w:rPr>
        <w:t>800</w:t>
      </w:r>
      <w:r>
        <w:rPr>
          <w:rFonts w:hint="eastAsia"/>
          <w:lang/>
        </w:rPr>
        <w:t>万元奖补。（市科技局负责）</w:t>
      </w:r>
    </w:p>
    <w:p w:rsidR="00000000" w:rsidRDefault="0037725A">
      <w:pPr>
        <w:wordWrap w:val="0"/>
        <w:spacing w:before="100" w:beforeAutospacing="1" w:after="100" w:afterAutospacing="1" w:line="480" w:lineRule="auto"/>
        <w:ind w:firstLine="480"/>
        <w:divId w:val="1676571013"/>
        <w:rPr>
          <w:lang/>
        </w:rPr>
      </w:pPr>
      <w:r>
        <w:rPr>
          <w:rFonts w:hint="eastAsia"/>
          <w:lang/>
        </w:rPr>
        <w:t>（十三）支持引进高端人才团队。获得第（四）条奖励的优质项目，对其高级管理人员和技术骨干（每家企业不超过</w:t>
      </w:r>
      <w:r>
        <w:rPr>
          <w:rFonts w:hint="eastAsia"/>
        </w:rPr>
        <w:t>10</w:t>
      </w:r>
      <w:r>
        <w:rPr>
          <w:rFonts w:hint="eastAsia"/>
          <w:lang/>
        </w:rPr>
        <w:t>名），按照其个人工资薪金所得缴纳个人所得税的</w:t>
      </w:r>
      <w:r>
        <w:rPr>
          <w:rFonts w:hint="eastAsia"/>
        </w:rPr>
        <w:t>25%</w:t>
      </w:r>
      <w:r>
        <w:rPr>
          <w:rFonts w:hint="eastAsia"/>
          <w:lang/>
        </w:rPr>
        <w:t>给予本人奖励，连续三年适用奖励条件。〔市财政局、各县（市、区）人民政府负责〕</w:t>
      </w:r>
    </w:p>
    <w:p w:rsidR="00000000" w:rsidRDefault="0037725A">
      <w:pPr>
        <w:wordWrap w:val="0"/>
        <w:spacing w:before="100" w:beforeAutospacing="1" w:after="100" w:afterAutospacing="1" w:line="480" w:lineRule="auto"/>
        <w:ind w:firstLine="480"/>
        <w:divId w:val="1676571013"/>
        <w:rPr>
          <w:lang/>
        </w:rPr>
      </w:pPr>
      <w:r>
        <w:rPr>
          <w:rFonts w:hint="eastAsia"/>
          <w:lang/>
        </w:rPr>
        <w:t>六、项目建设保障</w:t>
      </w:r>
    </w:p>
    <w:p w:rsidR="00000000" w:rsidRDefault="0037725A">
      <w:pPr>
        <w:wordWrap w:val="0"/>
        <w:spacing w:before="100" w:beforeAutospacing="1" w:after="100" w:afterAutospacing="1" w:line="480" w:lineRule="auto"/>
        <w:ind w:firstLine="480"/>
        <w:divId w:val="1676571013"/>
        <w:rPr>
          <w:lang/>
        </w:rPr>
      </w:pPr>
      <w:r>
        <w:rPr>
          <w:rFonts w:hint="eastAsia"/>
          <w:lang/>
        </w:rPr>
        <w:t>（十四）土地厂房保障。省政府下达到我市的土地利用年度计划指标，优先保障新兴支柱产业发展用地需求，对县（市、区）根据招商引资成效给予用地指标奖励。对满足集约用地要求的新兴支柱产业制造业项目，可按当地工业用地基准地价的</w:t>
      </w:r>
      <w:r>
        <w:rPr>
          <w:rFonts w:hint="eastAsia"/>
        </w:rPr>
        <w:t>70%</w:t>
      </w:r>
      <w:r>
        <w:rPr>
          <w:rFonts w:hint="eastAsia"/>
          <w:lang/>
        </w:rPr>
        <w:t>确定土</w:t>
      </w:r>
      <w:r>
        <w:rPr>
          <w:rFonts w:hint="eastAsia"/>
          <w:lang/>
        </w:rPr>
        <w:t>地出让起始价。支持符合条件的项目采用长期租赁、先租后让、租让结合等灵活供地方式降低用地成本。鼓励投资建设高标准厂房，允许以幢、层等固定界限为基本单元分割登记和转让，其中累计分割登记和转让面积不得超过总建筑面积的</w:t>
      </w:r>
      <w:r>
        <w:rPr>
          <w:rFonts w:hint="eastAsia"/>
        </w:rPr>
        <w:t>40%</w:t>
      </w:r>
      <w:r>
        <w:rPr>
          <w:rFonts w:hint="eastAsia"/>
          <w:lang/>
        </w:rPr>
        <w:t>。〔市国土资源局、市规划局、各县（市、区）人民政府负责，市土地储备中心、各产业园区管委会协助〕</w:t>
      </w:r>
    </w:p>
    <w:p w:rsidR="00000000" w:rsidRDefault="0037725A">
      <w:pPr>
        <w:wordWrap w:val="0"/>
        <w:spacing w:before="100" w:beforeAutospacing="1" w:after="100" w:afterAutospacing="1" w:line="480" w:lineRule="auto"/>
        <w:ind w:firstLine="480"/>
        <w:divId w:val="1676571013"/>
        <w:rPr>
          <w:lang/>
        </w:rPr>
      </w:pPr>
      <w:r>
        <w:rPr>
          <w:rFonts w:hint="eastAsia"/>
          <w:lang/>
        </w:rPr>
        <w:t>（十五）绿色发展保障。支持新兴支柱产业贯彻绿色发展理念，区域污染物排放控制指标分配优先保障节能降耗、清洁生产、合理利用自然资源、防止环境污染和生态破坏的项目。完善工业园区环境保护基础设施，加强区域污染</w:t>
      </w:r>
      <w:r>
        <w:rPr>
          <w:rFonts w:hint="eastAsia"/>
          <w:lang/>
        </w:rPr>
        <w:t>治理，削减区域污染物排放总量，保障产业项目的合理合</w:t>
      </w:r>
      <w:proofErr w:type="gramStart"/>
      <w:r>
        <w:rPr>
          <w:rFonts w:hint="eastAsia"/>
          <w:lang/>
        </w:rPr>
        <w:t>规</w:t>
      </w:r>
      <w:proofErr w:type="gramEnd"/>
      <w:r>
        <w:rPr>
          <w:rFonts w:hint="eastAsia"/>
          <w:lang/>
        </w:rPr>
        <w:t>排放需求。按需及时调整林业功能区规划，优先办理涉林用林手续，优先分配用林指标。〔市环保局、市发改局、市林业局、各县（市、区）人民政府负责〕</w:t>
      </w:r>
    </w:p>
    <w:p w:rsidR="00000000" w:rsidRDefault="0037725A">
      <w:pPr>
        <w:wordWrap w:val="0"/>
        <w:spacing w:before="100" w:beforeAutospacing="1" w:after="100" w:afterAutospacing="1" w:line="480" w:lineRule="auto"/>
        <w:ind w:firstLine="480"/>
        <w:divId w:val="1676571013"/>
        <w:rPr>
          <w:lang/>
        </w:rPr>
      </w:pPr>
      <w:r>
        <w:rPr>
          <w:rFonts w:hint="eastAsia"/>
          <w:lang/>
        </w:rPr>
        <w:t>七、创优企业服务</w:t>
      </w:r>
    </w:p>
    <w:p w:rsidR="00000000" w:rsidRDefault="0037725A">
      <w:pPr>
        <w:wordWrap w:val="0"/>
        <w:spacing w:before="100" w:beforeAutospacing="1" w:after="100" w:afterAutospacing="1" w:line="480" w:lineRule="auto"/>
        <w:ind w:firstLine="480"/>
        <w:divId w:val="1676571013"/>
        <w:rPr>
          <w:lang/>
        </w:rPr>
      </w:pPr>
      <w:r>
        <w:rPr>
          <w:rFonts w:hint="eastAsia"/>
          <w:lang/>
        </w:rPr>
        <w:t>（十六）政务服务保障。全面推广“一门式”、“一网式”、“马上办”等政务服务模式，优化并联审批流程，扩展并联办理事项，实行重点</w:t>
      </w:r>
      <w:proofErr w:type="gramStart"/>
      <w:r>
        <w:rPr>
          <w:rFonts w:hint="eastAsia"/>
          <w:lang/>
        </w:rPr>
        <w:t>项目容缺审批</w:t>
      </w:r>
      <w:proofErr w:type="gramEnd"/>
      <w:r>
        <w:rPr>
          <w:rFonts w:hint="eastAsia"/>
          <w:lang/>
        </w:rPr>
        <w:t>、全程代办。开办企业全流程时限压缩至</w:t>
      </w:r>
      <w:r>
        <w:rPr>
          <w:rFonts w:hint="eastAsia"/>
        </w:rPr>
        <w:t>5</w:t>
      </w:r>
      <w:r>
        <w:rPr>
          <w:rFonts w:hint="eastAsia"/>
          <w:lang/>
        </w:rPr>
        <w:t>个工作日，不涉及新增建设用地投资项目审批时限压缩至</w:t>
      </w:r>
      <w:r>
        <w:rPr>
          <w:rFonts w:hint="eastAsia"/>
        </w:rPr>
        <w:t>28</w:t>
      </w:r>
      <w:r>
        <w:rPr>
          <w:rFonts w:hint="eastAsia"/>
          <w:lang/>
        </w:rPr>
        <w:t>个工作日。〔市行政服务中心、市发改局、市工商局、市信息中心、各县（市、区）</w:t>
      </w:r>
      <w:r>
        <w:rPr>
          <w:rFonts w:hint="eastAsia"/>
          <w:lang/>
        </w:rPr>
        <w:t>人民政府负责〕</w:t>
      </w:r>
    </w:p>
    <w:p w:rsidR="00000000" w:rsidRDefault="0037725A">
      <w:pPr>
        <w:wordWrap w:val="0"/>
        <w:spacing w:before="100" w:beforeAutospacing="1" w:after="100" w:afterAutospacing="1" w:line="480" w:lineRule="auto"/>
        <w:ind w:firstLine="480"/>
        <w:divId w:val="1676571013"/>
        <w:rPr>
          <w:lang/>
        </w:rPr>
      </w:pPr>
      <w:r>
        <w:rPr>
          <w:rFonts w:hint="eastAsia"/>
          <w:lang/>
        </w:rPr>
        <w:t>（十七）人才和劳务服务。落实高层次人才引进计划的各项优惠措施。设立人才公寓，为引进人才提供政策性保障住房。深化产教对接合作，韶关学院、市职业技术院校优先为新兴支柱产业培养人才和提供支撑。组织劳务招聘对接活动，满足产业发展用工需求。减轻企业社保和残疾人就业保障金缴费负担。〔市人社局、市教育局、市住建管理局、市残联、各县（市、区）人民政府负责〕</w:t>
      </w:r>
      <w:r>
        <w:rPr>
          <w:rFonts w:hint="eastAsia"/>
          <w:lang/>
        </w:rPr>
        <w:t xml:space="preserve"> </w:t>
      </w:r>
    </w:p>
    <w:p w:rsidR="00000000" w:rsidRDefault="0037725A">
      <w:pPr>
        <w:wordWrap w:val="0"/>
        <w:spacing w:before="100" w:beforeAutospacing="1" w:after="100" w:afterAutospacing="1" w:line="480" w:lineRule="auto"/>
        <w:ind w:firstLine="480"/>
        <w:divId w:val="1676571013"/>
        <w:rPr>
          <w:lang/>
        </w:rPr>
      </w:pPr>
      <w:r>
        <w:rPr>
          <w:rFonts w:hint="eastAsia"/>
          <w:lang/>
        </w:rPr>
        <w:t>八、其他</w:t>
      </w:r>
    </w:p>
    <w:p w:rsidR="00000000" w:rsidRDefault="0037725A">
      <w:pPr>
        <w:wordWrap w:val="0"/>
        <w:spacing w:before="100" w:beforeAutospacing="1" w:after="100" w:afterAutospacing="1" w:line="480" w:lineRule="auto"/>
        <w:ind w:firstLine="480"/>
        <w:divId w:val="1676571013"/>
        <w:rPr>
          <w:lang/>
        </w:rPr>
      </w:pPr>
      <w:r>
        <w:rPr>
          <w:rFonts w:hint="eastAsia"/>
          <w:lang/>
        </w:rPr>
        <w:t>（十八）</w:t>
      </w:r>
      <w:proofErr w:type="gramStart"/>
      <w:r>
        <w:rPr>
          <w:rFonts w:hint="eastAsia"/>
          <w:lang/>
        </w:rPr>
        <w:t>奖补限额</w:t>
      </w:r>
      <w:proofErr w:type="gramEnd"/>
      <w:r>
        <w:rPr>
          <w:rFonts w:hint="eastAsia"/>
          <w:lang/>
        </w:rPr>
        <w:t>及承诺。符合本文件多项</w:t>
      </w:r>
      <w:proofErr w:type="gramStart"/>
      <w:r>
        <w:rPr>
          <w:rFonts w:hint="eastAsia"/>
          <w:lang/>
        </w:rPr>
        <w:t>奖补条件</w:t>
      </w:r>
      <w:proofErr w:type="gramEnd"/>
      <w:r>
        <w:rPr>
          <w:rFonts w:hint="eastAsia"/>
          <w:lang/>
        </w:rPr>
        <w:t>的企业可以获得叠加奖补，但企业在本文件下每年获得的</w:t>
      </w:r>
      <w:proofErr w:type="gramStart"/>
      <w:r>
        <w:rPr>
          <w:rFonts w:hint="eastAsia"/>
          <w:lang/>
        </w:rPr>
        <w:t>财政奖补资金</w:t>
      </w:r>
      <w:proofErr w:type="gramEnd"/>
      <w:r>
        <w:rPr>
          <w:rFonts w:hint="eastAsia"/>
          <w:lang/>
        </w:rPr>
        <w:t>总额不超过该企业当年对地方财政贡</w:t>
      </w:r>
      <w:r>
        <w:rPr>
          <w:rFonts w:hint="eastAsia"/>
          <w:lang/>
        </w:rPr>
        <w:t>献的</w:t>
      </w:r>
      <w:r>
        <w:rPr>
          <w:rFonts w:hint="eastAsia"/>
        </w:rPr>
        <w:t>50%</w:t>
      </w:r>
      <w:r>
        <w:rPr>
          <w:rFonts w:hint="eastAsia"/>
          <w:lang/>
        </w:rPr>
        <w:t>。企业对地方财政贡献是指该企业缴纳的企业所得税和增值税的市、县级分成部分对应的财政收入。企业获得政策扶持后，</w:t>
      </w:r>
      <w:proofErr w:type="gramStart"/>
      <w:r>
        <w:rPr>
          <w:rFonts w:hint="eastAsia"/>
          <w:lang/>
        </w:rPr>
        <w:t>需承诺</w:t>
      </w:r>
      <w:proofErr w:type="gramEnd"/>
      <w:r>
        <w:rPr>
          <w:rFonts w:hint="eastAsia"/>
        </w:rPr>
        <w:t>10</w:t>
      </w:r>
      <w:r>
        <w:rPr>
          <w:rFonts w:hint="eastAsia"/>
          <w:lang/>
        </w:rPr>
        <w:t>年内</w:t>
      </w:r>
      <w:proofErr w:type="gramStart"/>
      <w:r>
        <w:rPr>
          <w:rFonts w:hint="eastAsia"/>
          <w:lang/>
        </w:rPr>
        <w:t>不</w:t>
      </w:r>
      <w:proofErr w:type="gramEnd"/>
      <w:r>
        <w:rPr>
          <w:rFonts w:hint="eastAsia"/>
          <w:lang/>
        </w:rPr>
        <w:t>迁离注册地址到市外、不改变在本市的纳税义务，不减少注册资本。若企业违反承诺，政府有权撤销扶持措施并</w:t>
      </w:r>
      <w:proofErr w:type="gramStart"/>
      <w:r>
        <w:rPr>
          <w:rFonts w:hint="eastAsia"/>
          <w:lang/>
        </w:rPr>
        <w:t>追回奖补</w:t>
      </w:r>
      <w:proofErr w:type="gramEnd"/>
      <w:r>
        <w:rPr>
          <w:rFonts w:hint="eastAsia"/>
          <w:lang/>
        </w:rPr>
        <w:t>资金。</w:t>
      </w:r>
    </w:p>
    <w:p w:rsidR="00000000" w:rsidRDefault="0037725A">
      <w:pPr>
        <w:wordWrap w:val="0"/>
        <w:spacing w:before="100" w:beforeAutospacing="1" w:after="100" w:afterAutospacing="1" w:line="480" w:lineRule="auto"/>
        <w:ind w:firstLine="480"/>
        <w:divId w:val="1676571013"/>
        <w:rPr>
          <w:lang/>
        </w:rPr>
      </w:pPr>
      <w:r>
        <w:rPr>
          <w:rFonts w:hint="eastAsia"/>
          <w:lang/>
        </w:rPr>
        <w:t>（十九）</w:t>
      </w:r>
      <w:proofErr w:type="gramStart"/>
      <w:r>
        <w:rPr>
          <w:rFonts w:hint="eastAsia"/>
          <w:lang/>
        </w:rPr>
        <w:t>奖补资金来源</w:t>
      </w:r>
      <w:proofErr w:type="gramEnd"/>
      <w:r>
        <w:rPr>
          <w:rFonts w:hint="eastAsia"/>
          <w:lang/>
        </w:rPr>
        <w:t>。按照“谁受益、谁支出”的原则，除明确规定纳入市本级财政预算安排的资金项目支出外，</w:t>
      </w:r>
      <w:proofErr w:type="gramStart"/>
      <w:r>
        <w:rPr>
          <w:rFonts w:hint="eastAsia"/>
          <w:lang/>
        </w:rPr>
        <w:t>各项奖补资金</w:t>
      </w:r>
      <w:proofErr w:type="gramEnd"/>
      <w:r>
        <w:rPr>
          <w:rFonts w:hint="eastAsia"/>
          <w:lang/>
        </w:rPr>
        <w:t>支出原则上按市和县（市、区）</w:t>
      </w:r>
      <w:r>
        <w:rPr>
          <w:rFonts w:hint="eastAsia"/>
          <w:lang/>
        </w:rPr>
        <w:t>财政事权和支出责任划分总体框架</w:t>
      </w:r>
      <w:r>
        <w:rPr>
          <w:rFonts w:hint="eastAsia"/>
          <w:lang/>
        </w:rPr>
        <w:t>分级分担。</w:t>
      </w:r>
    </w:p>
    <w:p w:rsidR="00000000" w:rsidRPr="0037725A" w:rsidRDefault="0037725A" w:rsidP="0037725A">
      <w:pPr>
        <w:wordWrap w:val="0"/>
        <w:spacing w:before="100" w:beforeAutospacing="1" w:after="100" w:afterAutospacing="1" w:line="480" w:lineRule="auto"/>
        <w:ind w:firstLine="480"/>
        <w:divId w:val="1676571013"/>
        <w:rPr>
          <w:lang/>
        </w:rPr>
      </w:pPr>
      <w:r>
        <w:rPr>
          <w:rFonts w:hint="eastAsia"/>
          <w:lang/>
        </w:rPr>
        <w:t>（二十）文件实施。本文件自印发公布之日起生效，有效期三年。符合各条措施适用条件的</w:t>
      </w:r>
      <w:r>
        <w:rPr>
          <w:rFonts w:hint="eastAsia"/>
          <w:lang/>
        </w:rPr>
        <w:t>企业和项目，由该条措施的实施单位负责审核认定，各新兴支柱产业的责任单位对企业和项目的行业归类予以指导。市产业发展联席会议负责组织制定必要的配套实施细则，监督各项措施落实到位，并授权市产业发展联席会议办公室负责本文件的解释。</w:t>
      </w:r>
      <w:r w:rsidR="00356019">
        <w:rPr>
          <w:lang/>
        </w:rPr>
        <w:pict/>
      </w:r>
      <w:r w:rsidR="00356019">
        <w:rPr>
          <w:lang/>
        </w:rPr>
        <w:pict/>
      </w:r>
      <w:r w:rsidR="00356019">
        <w:rPr>
          <w:lang/>
        </w:rPr>
        <w:pict/>
      </w:r>
      <w:r w:rsidR="00356019">
        <w:rPr>
          <w:lang/>
        </w:rPr>
        <w:pict/>
      </w:r>
      <w:r w:rsidR="00356019">
        <w:rPr>
          <w:lang/>
        </w:rPr>
        <w:pict/>
      </w:r>
      <w:r w:rsidR="00356019">
        <w:rPr>
          <w:lang/>
        </w:rPr>
        <w:pict/>
      </w:r>
      <w:r w:rsidR="00356019">
        <w:rPr>
          <w:lang/>
        </w:rPr>
        <w:pict/>
      </w:r>
      <w:r w:rsidR="00356019">
        <w:rPr>
          <w:lang/>
        </w:rPr>
        <w:pict/>
      </w:r>
      <w:r w:rsidR="00356019">
        <w:rPr>
          <w:lang/>
        </w:rPr>
        <w:pict/>
      </w:r>
    </w:p>
    <w:sectPr w:rsidR="00000000" w:rsidRPr="0037725A">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02A8"/>
    <w:multiLevelType w:val="multilevel"/>
    <w:tmpl w:val="388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F860C8"/>
    <w:multiLevelType w:val="multilevel"/>
    <w:tmpl w:val="5E3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compat>
    <w:useFELayout/>
  </w:compat>
  <w:rsids>
    <w:rsidRoot w:val="00356019"/>
    <w:rsid w:val="00356019"/>
    <w:rsid w:val="003772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4">
    <w:name w:val="heading 4"/>
    <w:basedOn w:val="a"/>
    <w:link w:val="4Char"/>
    <w:uiPriority w:val="9"/>
    <w:qFormat/>
    <w:pPr>
      <w:spacing w:before="100" w:beforeAutospacing="1" w:after="100" w:afterAutospacing="1"/>
      <w:outlineLvl w:val="3"/>
    </w:pPr>
    <w:rPr>
      <w:b/>
      <w:bCs/>
    </w:rPr>
  </w:style>
  <w:style w:type="paragraph" w:styleId="6">
    <w:name w:val="heading 6"/>
    <w:basedOn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t10">
    <w:name w:val="mt10"/>
    <w:basedOn w:val="a"/>
    <w:pPr>
      <w:spacing w:before="100" w:beforeAutospacing="1" w:after="100" w:afterAutospacing="1"/>
    </w:pPr>
  </w:style>
  <w:style w:type="paragraph" w:customStyle="1" w:styleId="zkhyc">
    <w:name w:val="zkhyc"/>
    <w:basedOn w:val="a"/>
    <w:pPr>
      <w:spacing w:before="100" w:beforeAutospacing="1" w:after="100" w:afterAutospacing="1"/>
    </w:pPr>
    <w:rPr>
      <w:vanish/>
    </w:rPr>
  </w:style>
  <w:style w:type="character" w:customStyle="1" w:styleId="1Char">
    <w:name w:val="标题 1 Char"/>
    <w:basedOn w:val="a0"/>
    <w:link w:val="1"/>
    <w:uiPriority w:val="9"/>
    <w:rPr>
      <w:rFonts w:ascii="宋体" w:eastAsia="宋体" w:hAnsi="宋体" w:cs="宋体"/>
      <w:b/>
      <w:bCs/>
      <w:kern w:val="44"/>
      <w:sz w:val="44"/>
      <w:szCs w:val="44"/>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lose">
    <w:name w:val="close"/>
    <w:basedOn w:val="a0"/>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paragraph" w:customStyle="1" w:styleId="appendix">
    <w:name w:val="appendix"/>
    <w:basedOn w:val="a"/>
    <w:pPr>
      <w:spacing w:before="240" w:after="100" w:afterAutospacing="1"/>
    </w:pPr>
  </w:style>
  <w:style w:type="character" w:customStyle="1" w:styleId="dis-in-b">
    <w:name w:val="dis-in-b"/>
    <w:basedOn w:val="a0"/>
  </w:style>
  <w:style w:type="paragraph" w:customStyle="1" w:styleId="bot-p">
    <w:name w:val="bot-p"/>
    <w:basedOn w:val="a"/>
    <w:pPr>
      <w:spacing w:before="100" w:beforeAutospacing="1" w:after="100" w:afterAutospacing="1"/>
    </w:pPr>
  </w:style>
  <w:style w:type="paragraph" w:customStyle="1" w:styleId="f-link">
    <w:name w:val="f-link"/>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ico">
    <w:name w:val="ico"/>
    <w:basedOn w:val="a"/>
    <w:pPr>
      <w:spacing w:before="100" w:beforeAutospacing="1" w:after="100" w:afterAutospacing="1"/>
    </w:pPr>
  </w:style>
  <w:style w:type="character" w:styleId="HTML">
    <w:name w:val="HTML Cite"/>
    <w:basedOn w:val="a0"/>
    <w:uiPriority w:val="99"/>
    <w:semiHidden/>
    <w:unhideWhenUsed/>
    <w:rPr>
      <w:i/>
      <w:iCs/>
    </w:rPr>
  </w:style>
  <w:style w:type="character" w:styleId="a6">
    <w:name w:val="Emphasis"/>
    <w:basedOn w:val="a0"/>
    <w:uiPriority w:val="20"/>
    <w:qFormat/>
    <w:rPr>
      <w:i/>
      <w:iCs/>
    </w:rPr>
  </w:style>
  <w:style w:type="paragraph" w:customStyle="1" w:styleId="layui-layer-imgbar">
    <w:name w:val="layui-layer-imgbar"/>
    <w:basedOn w:val="a"/>
    <w:pPr>
      <w:spacing w:before="100" w:beforeAutospacing="1" w:after="100" w:afterAutospacing="1" w:line="384" w:lineRule="atLeast"/>
    </w:pPr>
    <w:rPr>
      <w:vanish/>
      <w:color w:val="FFFFFF"/>
      <w:sz w:val="2"/>
      <w:szCs w:val="2"/>
    </w:rPr>
  </w:style>
  <w:style w:type="paragraph" w:customStyle="1" w:styleId="layui-layer-title">
    <w:name w:val="layui-layer-title"/>
    <w:basedOn w:val="a"/>
    <w:pPr>
      <w:pBdr>
        <w:bottom w:val="single" w:sz="4" w:space="0" w:color="EEEEEE"/>
      </w:pBdr>
      <w:shd w:val="clear" w:color="auto" w:fill="F8F8F8"/>
      <w:spacing w:before="100" w:beforeAutospacing="1" w:after="100" w:afterAutospacing="1" w:line="504" w:lineRule="atLeast"/>
    </w:pPr>
    <w:rPr>
      <w:color w:val="333333"/>
      <w:sz w:val="17"/>
      <w:szCs w:val="17"/>
    </w:rPr>
  </w:style>
  <w:style w:type="paragraph" w:customStyle="1" w:styleId="layui-layer-shade">
    <w:name w:val="layui-layer-shade"/>
    <w:basedOn w:val="a"/>
    <w:pPr>
      <w:spacing w:before="100" w:beforeAutospacing="1" w:after="100" w:afterAutospacing="1"/>
    </w:pPr>
  </w:style>
  <w:style w:type="paragraph" w:customStyle="1" w:styleId="layui-layer">
    <w:name w:val="layui-layer"/>
    <w:basedOn w:val="a"/>
    <w:pPr>
      <w:shd w:val="clear" w:color="auto" w:fill="FFFFFF"/>
    </w:pPr>
  </w:style>
  <w:style w:type="paragraph" w:customStyle="1" w:styleId="layui-layer-border">
    <w:name w:val="layui-layer-border"/>
    <w:basedOn w:val="a"/>
    <w:pPr>
      <w:pBdr>
        <w:top w:val="single" w:sz="4" w:space="0" w:color="B2B2B2"/>
        <w:left w:val="single" w:sz="4" w:space="0" w:color="B2B2B2"/>
        <w:bottom w:val="single" w:sz="4" w:space="0" w:color="B2B2B2"/>
        <w:right w:val="single" w:sz="4" w:space="0" w:color="B2B2B2"/>
      </w:pBdr>
      <w:spacing w:before="100" w:beforeAutospacing="1" w:after="100" w:afterAutospacing="1"/>
    </w:pPr>
  </w:style>
  <w:style w:type="paragraph" w:customStyle="1" w:styleId="layui-layer-load">
    <w:name w:val="layui-layer-load"/>
    <w:basedOn w:val="a"/>
    <w:pPr>
      <w:shd w:val="clear" w:color="auto" w:fill="EEEEEE"/>
      <w:spacing w:before="100" w:beforeAutospacing="1" w:after="100" w:afterAutospacing="1"/>
    </w:pPr>
  </w:style>
  <w:style w:type="paragraph" w:customStyle="1" w:styleId="layui-layer-ico">
    <w:name w:val="layui-layer-ico"/>
    <w:basedOn w:val="a"/>
    <w:pPr>
      <w:spacing w:before="100" w:beforeAutospacing="1" w:after="100" w:afterAutospacing="1"/>
    </w:pPr>
  </w:style>
  <w:style w:type="paragraph" w:customStyle="1" w:styleId="layui-layer-move">
    <w:name w:val="layui-layer-move"/>
    <w:basedOn w:val="a"/>
    <w:pPr>
      <w:shd w:val="clear" w:color="auto" w:fill="FFFFFF"/>
      <w:spacing w:before="100" w:beforeAutospacing="1" w:after="100" w:afterAutospacing="1"/>
    </w:pPr>
    <w:rPr>
      <w:vanish/>
    </w:rPr>
  </w:style>
  <w:style w:type="paragraph" w:customStyle="1" w:styleId="layui-layer-resize">
    <w:name w:val="layui-layer-resize"/>
    <w:basedOn w:val="a"/>
    <w:pPr>
      <w:spacing w:before="100" w:beforeAutospacing="1" w:after="100" w:afterAutospacing="1"/>
    </w:pPr>
  </w:style>
  <w:style w:type="paragraph" w:customStyle="1" w:styleId="layui-layer-setwin">
    <w:name w:val="layui-layer-setwin"/>
    <w:basedOn w:val="a"/>
    <w:pPr>
      <w:spacing w:before="100" w:beforeAutospacing="1" w:after="100" w:afterAutospacing="1"/>
    </w:pPr>
    <w:rPr>
      <w:sz w:val="2"/>
      <w:szCs w:val="2"/>
    </w:rPr>
  </w:style>
  <w:style w:type="paragraph" w:customStyle="1" w:styleId="layui-layer-btn">
    <w:name w:val="layui-layer-btn"/>
    <w:basedOn w:val="a"/>
    <w:pPr>
      <w:spacing w:before="100" w:beforeAutospacing="1" w:after="100" w:afterAutospacing="1"/>
      <w:jc w:val="right"/>
    </w:pPr>
  </w:style>
  <w:style w:type="paragraph" w:customStyle="1" w:styleId="layui-layer-btn-l">
    <w:name w:val="layui-layer-btn-l"/>
    <w:basedOn w:val="a"/>
    <w:pPr>
      <w:spacing w:before="100" w:beforeAutospacing="1" w:after="100" w:afterAutospacing="1"/>
    </w:pPr>
  </w:style>
  <w:style w:type="paragraph" w:customStyle="1" w:styleId="layui-layer-btn-c">
    <w:name w:val="layui-layer-btn-c"/>
    <w:basedOn w:val="a"/>
    <w:pPr>
      <w:spacing w:before="100" w:beforeAutospacing="1" w:after="100" w:afterAutospacing="1"/>
      <w:jc w:val="center"/>
    </w:pPr>
  </w:style>
  <w:style w:type="paragraph" w:customStyle="1" w:styleId="layui-layer-rim">
    <w:name w:val="layui-layer-rim"/>
    <w:basedOn w:val="a"/>
    <w:pPr>
      <w:pBdr>
        <w:top w:val="single" w:sz="24" w:space="0" w:color="8D8D8D"/>
        <w:left w:val="single" w:sz="24" w:space="0" w:color="8D8D8D"/>
        <w:bottom w:val="single" w:sz="24" w:space="0" w:color="8D8D8D"/>
        <w:right w:val="single" w:sz="24" w:space="0" w:color="8D8D8D"/>
      </w:pBdr>
      <w:spacing w:before="100" w:beforeAutospacing="1" w:after="100" w:afterAutospacing="1"/>
    </w:pPr>
  </w:style>
  <w:style w:type="paragraph" w:customStyle="1" w:styleId="layui-layer-msg">
    <w:name w:val="layui-layer-msg"/>
    <w:basedOn w:val="a"/>
    <w:pPr>
      <w:pBdr>
        <w:top w:val="single" w:sz="4" w:space="0" w:color="D3D4D3"/>
        <w:left w:val="single" w:sz="4" w:space="0" w:color="D3D4D3"/>
        <w:bottom w:val="single" w:sz="4" w:space="0" w:color="D3D4D3"/>
        <w:right w:val="single" w:sz="4" w:space="0" w:color="D3D4D3"/>
      </w:pBdr>
      <w:spacing w:before="100" w:beforeAutospacing="1" w:after="100" w:afterAutospacing="1"/>
    </w:pPr>
  </w:style>
  <w:style w:type="paragraph" w:customStyle="1" w:styleId="layui-layer-hui">
    <w:name w:val="layui-layer-hui"/>
    <w:basedOn w:val="a"/>
    <w:pPr>
      <w:shd w:val="clear" w:color="auto" w:fill="000000"/>
      <w:spacing w:before="100" w:beforeAutospacing="1" w:after="100" w:afterAutospacing="1"/>
    </w:pPr>
    <w:rPr>
      <w:color w:val="FFFFFF"/>
    </w:rPr>
  </w:style>
  <w:style w:type="paragraph" w:customStyle="1" w:styleId="layui-layer-loading">
    <w:name w:val="layui-layer-loading"/>
    <w:basedOn w:val="a"/>
    <w:pPr>
      <w:spacing w:before="100" w:beforeAutospacing="1" w:after="100" w:afterAutospacing="1"/>
    </w:pPr>
  </w:style>
  <w:style w:type="paragraph" w:customStyle="1" w:styleId="layui-layer-ico16">
    <w:name w:val="layui-layer-ico16"/>
    <w:basedOn w:val="a"/>
    <w:pPr>
      <w:spacing w:before="100" w:beforeAutospacing="1" w:after="100" w:afterAutospacing="1"/>
    </w:pPr>
  </w:style>
  <w:style w:type="paragraph" w:customStyle="1" w:styleId="layui-layer-tips">
    <w:name w:val="layui-layer-tips"/>
    <w:basedOn w:val="a"/>
    <w:pPr>
      <w:spacing w:before="100" w:beforeAutospacing="1" w:after="100" w:afterAutospacing="1"/>
    </w:pPr>
  </w:style>
  <w:style w:type="paragraph" w:customStyle="1" w:styleId="layui-layer-iconext">
    <w:name w:val="layui-layer-iconext"/>
    <w:basedOn w:val="a"/>
    <w:pPr>
      <w:spacing w:before="100" w:beforeAutospacing="1" w:after="100" w:afterAutospacing="1"/>
    </w:pPr>
  </w:style>
  <w:style w:type="paragraph" w:customStyle="1" w:styleId="layui-layer-tabmain">
    <w:name w:val="layui-layer-tabmain"/>
    <w:basedOn w:val="a"/>
    <w:pPr>
      <w:spacing w:before="100" w:beforeAutospacing="1" w:after="100" w:afterAutospacing="1" w:line="288" w:lineRule="atLeast"/>
    </w:pPr>
  </w:style>
  <w:style w:type="paragraph" w:customStyle="1" w:styleId="layui-layer-imguide">
    <w:name w:val="layui-layer-imguide"/>
    <w:basedOn w:val="a"/>
    <w:pPr>
      <w:spacing w:before="100" w:beforeAutospacing="1" w:after="100" w:afterAutospacing="1"/>
    </w:pPr>
    <w:rPr>
      <w:vanish/>
    </w:rPr>
  </w:style>
  <w:style w:type="paragraph" w:customStyle="1" w:styleId="layui-layer-imgnext">
    <w:name w:val="layui-layer-imgnext"/>
    <w:basedOn w:val="a"/>
    <w:pPr>
      <w:spacing w:after="100" w:afterAutospacing="1"/>
    </w:pPr>
  </w:style>
  <w:style w:type="paragraph" w:customStyle="1" w:styleId="layui-layer-imgprev">
    <w:name w:val="layui-layer-imgprev"/>
    <w:basedOn w:val="a"/>
    <w:pPr>
      <w:spacing w:after="100" w:afterAutospacing="1"/>
    </w:pPr>
  </w:style>
  <w:style w:type="paragraph" w:customStyle="1" w:styleId="layui-layer-close2">
    <w:name w:val="layui-layer-close2"/>
    <w:basedOn w:val="a"/>
    <w:pPr>
      <w:spacing w:before="100" w:beforeAutospacing="1" w:after="100" w:afterAutospacing="1"/>
    </w:pPr>
  </w:style>
  <w:style w:type="paragraph" w:customStyle="1" w:styleId="layui-layer-btn0">
    <w:name w:val="layui-layer-btn0"/>
    <w:basedOn w:val="a"/>
    <w:pPr>
      <w:spacing w:before="100" w:beforeAutospacing="1" w:after="100" w:afterAutospacing="1"/>
    </w:pPr>
  </w:style>
  <w:style w:type="paragraph" w:customStyle="1" w:styleId="layui-layer-content">
    <w:name w:val="layui-layer-content"/>
    <w:basedOn w:val="a"/>
    <w:pPr>
      <w:spacing w:before="100" w:beforeAutospacing="1" w:after="100" w:afterAutospacing="1"/>
    </w:pPr>
  </w:style>
  <w:style w:type="paragraph" w:customStyle="1" w:styleId="layui-layer-padding">
    <w:name w:val="layui-layer-padding"/>
    <w:basedOn w:val="a"/>
    <w:pPr>
      <w:spacing w:before="100" w:beforeAutospacing="1" w:after="100" w:afterAutospacing="1"/>
    </w:pPr>
  </w:style>
  <w:style w:type="paragraph" w:customStyle="1" w:styleId="layui-layer-loading1">
    <w:name w:val="layui-layer-loading1"/>
    <w:basedOn w:val="a"/>
    <w:pPr>
      <w:spacing w:before="100" w:beforeAutospacing="1" w:after="100" w:afterAutospacing="1"/>
    </w:pPr>
  </w:style>
  <w:style w:type="paragraph" w:customStyle="1" w:styleId="layui-layer-loading2">
    <w:name w:val="layui-layer-loading2"/>
    <w:basedOn w:val="a"/>
    <w:pPr>
      <w:spacing w:before="100" w:beforeAutospacing="1" w:after="100" w:afterAutospacing="1"/>
    </w:pPr>
  </w:style>
  <w:style w:type="paragraph" w:customStyle="1" w:styleId="layui-layer-input">
    <w:name w:val="layui-layer-input"/>
    <w:basedOn w:val="a"/>
    <w:pPr>
      <w:spacing w:before="100" w:beforeAutospacing="1" w:after="100" w:afterAutospacing="1"/>
    </w:pPr>
  </w:style>
  <w:style w:type="paragraph" w:customStyle="1" w:styleId="layui-layer-tabli">
    <w:name w:val="layui-layer-tabli"/>
    <w:basedOn w:val="a"/>
    <w:pPr>
      <w:spacing w:before="100" w:beforeAutospacing="1" w:after="100" w:afterAutospacing="1"/>
    </w:pPr>
  </w:style>
  <w:style w:type="paragraph" w:customStyle="1" w:styleId="layui-layer-btn1">
    <w:name w:val="layui-layer-btn1"/>
    <w:basedOn w:val="a"/>
    <w:pPr>
      <w:spacing w:before="100" w:beforeAutospacing="1" w:after="100" w:afterAutospacing="1"/>
    </w:pPr>
  </w:style>
  <w:style w:type="character" w:customStyle="1" w:styleId="layui-layer-tabnow">
    <w:name w:val="layui-layer-tabnow"/>
    <w:basedOn w:val="a0"/>
  </w:style>
  <w:style w:type="paragraph" w:customStyle="1" w:styleId="layui-layer-ico1">
    <w:name w:val="layui-layer-ico1"/>
    <w:basedOn w:val="a"/>
    <w:pPr>
      <w:spacing w:before="100" w:beforeAutospacing="1" w:after="100" w:afterAutospacing="1"/>
      <w:textAlignment w:val="top"/>
    </w:pPr>
  </w:style>
  <w:style w:type="paragraph" w:customStyle="1" w:styleId="layui-layer-close21">
    <w:name w:val="layui-layer-close21"/>
    <w:basedOn w:val="a"/>
    <w:pPr>
      <w:spacing w:before="100" w:beforeAutospacing="1" w:after="100" w:afterAutospacing="1"/>
    </w:pPr>
  </w:style>
  <w:style w:type="paragraph" w:customStyle="1" w:styleId="layui-layer-btn01">
    <w:name w:val="layui-layer-btn01"/>
    <w:basedOn w:val="a"/>
    <w:pPr>
      <w:shd w:val="clear" w:color="auto" w:fill="2E8DED"/>
      <w:spacing w:before="100" w:beforeAutospacing="1" w:after="100" w:afterAutospacing="1"/>
    </w:pPr>
    <w:rPr>
      <w:color w:val="FFFFFF"/>
    </w:rPr>
  </w:style>
  <w:style w:type="paragraph" w:customStyle="1" w:styleId="layui-layer-content1">
    <w:name w:val="layui-layer-content1"/>
    <w:basedOn w:val="a"/>
    <w:pPr>
      <w:wordWrap w:val="0"/>
      <w:spacing w:before="100" w:beforeAutospacing="1" w:after="100" w:afterAutospacing="1" w:line="288" w:lineRule="atLeast"/>
    </w:pPr>
    <w:rPr>
      <w:sz w:val="17"/>
      <w:szCs w:val="17"/>
    </w:rPr>
  </w:style>
  <w:style w:type="paragraph" w:customStyle="1" w:styleId="layui-layer-ico2">
    <w:name w:val="layui-layer-ico2"/>
    <w:basedOn w:val="a"/>
    <w:pPr>
      <w:spacing w:before="100" w:beforeAutospacing="1" w:after="100" w:afterAutospacing="1"/>
      <w:textAlignment w:val="top"/>
    </w:pPr>
  </w:style>
  <w:style w:type="paragraph" w:customStyle="1" w:styleId="layui-layer-content2">
    <w:name w:val="layui-layer-content2"/>
    <w:basedOn w:val="a"/>
    <w:pPr>
      <w:spacing w:before="100" w:beforeAutospacing="1" w:after="100" w:afterAutospacing="1"/>
      <w:jc w:val="center"/>
    </w:pPr>
  </w:style>
  <w:style w:type="paragraph" w:customStyle="1" w:styleId="layui-layer-padding1">
    <w:name w:val="layui-layer-padding1"/>
    <w:basedOn w:val="a"/>
    <w:pPr>
      <w:spacing w:before="100" w:beforeAutospacing="1" w:after="100" w:afterAutospacing="1"/>
    </w:pPr>
  </w:style>
  <w:style w:type="paragraph" w:customStyle="1" w:styleId="layui-layer-btn2">
    <w:name w:val="layui-layer-btn2"/>
    <w:basedOn w:val="a"/>
    <w:pPr>
      <w:spacing w:before="100" w:beforeAutospacing="1" w:after="100" w:afterAutospacing="1"/>
      <w:jc w:val="right"/>
    </w:pPr>
  </w:style>
  <w:style w:type="paragraph" w:customStyle="1" w:styleId="layui-layer-btn3">
    <w:name w:val="layui-layer-btn3"/>
    <w:basedOn w:val="a"/>
    <w:pPr>
      <w:spacing w:before="100" w:beforeAutospacing="1" w:after="100" w:afterAutospacing="1"/>
      <w:jc w:val="right"/>
    </w:pPr>
  </w:style>
  <w:style w:type="paragraph" w:customStyle="1" w:styleId="layui-layer-content3">
    <w:name w:val="layui-layer-content3"/>
    <w:basedOn w:val="a"/>
    <w:pPr>
      <w:spacing w:before="100" w:beforeAutospacing="1" w:after="100" w:afterAutospacing="1"/>
    </w:pPr>
  </w:style>
  <w:style w:type="paragraph" w:customStyle="1" w:styleId="layui-layer-loading11">
    <w:name w:val="layui-layer-loading11"/>
    <w:basedOn w:val="a"/>
    <w:pPr>
      <w:spacing w:before="100" w:beforeAutospacing="1" w:after="100" w:afterAutospacing="1"/>
    </w:pPr>
  </w:style>
  <w:style w:type="paragraph" w:customStyle="1" w:styleId="layui-layer-loading21">
    <w:name w:val="layui-layer-loading21"/>
    <w:basedOn w:val="a"/>
    <w:pPr>
      <w:spacing w:before="100" w:beforeAutospacing="1" w:after="100" w:afterAutospacing="1"/>
    </w:pPr>
  </w:style>
  <w:style w:type="paragraph" w:customStyle="1" w:styleId="layui-layer-content4">
    <w:name w:val="layui-layer-content4"/>
    <w:basedOn w:val="a"/>
    <w:pPr>
      <w:shd w:val="clear" w:color="auto" w:fill="000000"/>
      <w:spacing w:before="100" w:beforeAutospacing="1" w:after="100" w:afterAutospacing="1" w:line="264" w:lineRule="atLeast"/>
    </w:pPr>
    <w:rPr>
      <w:color w:val="FFFFFF"/>
      <w:sz w:val="14"/>
      <w:szCs w:val="14"/>
    </w:rPr>
  </w:style>
  <w:style w:type="paragraph" w:customStyle="1" w:styleId="layui-layer-title1">
    <w:name w:val="layui-layer-title1"/>
    <w:basedOn w:val="a"/>
    <w:pPr>
      <w:shd w:val="clear" w:color="auto" w:fill="4476A7"/>
      <w:spacing w:before="100" w:beforeAutospacing="1" w:after="100" w:afterAutospacing="1" w:line="504" w:lineRule="atLeast"/>
    </w:pPr>
    <w:rPr>
      <w:color w:val="FFFFFF"/>
      <w:sz w:val="17"/>
      <w:szCs w:val="17"/>
    </w:rPr>
  </w:style>
  <w:style w:type="paragraph" w:customStyle="1" w:styleId="layui-layer-btn4">
    <w:name w:val="layui-layer-btn4"/>
    <w:basedOn w:val="a"/>
    <w:pPr>
      <w:pBdr>
        <w:top w:val="single" w:sz="4" w:space="3" w:color="E9E7E7"/>
      </w:pBdr>
      <w:spacing w:before="100" w:beforeAutospacing="1" w:after="100" w:afterAutospacing="1"/>
      <w:jc w:val="right"/>
    </w:pPr>
  </w:style>
  <w:style w:type="paragraph" w:customStyle="1" w:styleId="layui-layer-btn11">
    <w:name w:val="layui-layer-btn11"/>
    <w:basedOn w:val="a"/>
    <w:pPr>
      <w:shd w:val="clear" w:color="auto" w:fill="C9C5C5"/>
      <w:spacing w:before="100" w:beforeAutospacing="1" w:after="100" w:afterAutospacing="1"/>
    </w:pPr>
  </w:style>
  <w:style w:type="paragraph" w:customStyle="1" w:styleId="layui-layer-title2">
    <w:name w:val="layui-layer-title2"/>
    <w:basedOn w:val="a"/>
    <w:pPr>
      <w:shd w:val="clear" w:color="auto" w:fill="009F95"/>
      <w:spacing w:before="100" w:beforeAutospacing="1" w:after="100" w:afterAutospacing="1" w:line="504" w:lineRule="atLeast"/>
    </w:pPr>
    <w:rPr>
      <w:color w:val="FFFFFF"/>
      <w:sz w:val="17"/>
      <w:szCs w:val="17"/>
    </w:rPr>
  </w:style>
  <w:style w:type="paragraph" w:customStyle="1" w:styleId="layui-layer-btn12">
    <w:name w:val="layui-layer-btn12"/>
    <w:basedOn w:val="a"/>
    <w:pPr>
      <w:shd w:val="clear" w:color="auto" w:fill="92B8B1"/>
      <w:spacing w:before="100" w:beforeAutospacing="1" w:after="100" w:afterAutospacing="1"/>
    </w:pPr>
  </w:style>
  <w:style w:type="paragraph" w:customStyle="1" w:styleId="layui-layer-input1">
    <w:name w:val="layui-layer-input1"/>
    <w:basedOn w:val="a"/>
    <w:pPr>
      <w:pBdr>
        <w:top w:val="single" w:sz="4" w:space="0" w:color="CCCCCC"/>
        <w:left w:val="single" w:sz="4" w:space="3" w:color="CCCCCC"/>
        <w:bottom w:val="single" w:sz="4" w:space="0" w:color="CCCCCC"/>
        <w:right w:val="single" w:sz="4" w:space="3" w:color="CCCCCC"/>
      </w:pBdr>
      <w:spacing w:line="360" w:lineRule="atLeast"/>
    </w:pPr>
    <w:rPr>
      <w:color w:val="333333"/>
    </w:rPr>
  </w:style>
  <w:style w:type="paragraph" w:customStyle="1" w:styleId="layui-layer-content5">
    <w:name w:val="layui-layer-content5"/>
    <w:basedOn w:val="a"/>
    <w:pPr>
      <w:spacing w:before="100" w:beforeAutospacing="1" w:after="100" w:afterAutospacing="1"/>
    </w:pPr>
  </w:style>
  <w:style w:type="paragraph" w:customStyle="1" w:styleId="layui-layer-btn5">
    <w:name w:val="layui-layer-btn5"/>
    <w:basedOn w:val="a"/>
    <w:pPr>
      <w:spacing w:before="100" w:beforeAutospacing="1" w:after="100" w:afterAutospacing="1"/>
      <w:jc w:val="right"/>
    </w:pPr>
  </w:style>
  <w:style w:type="paragraph" w:customStyle="1" w:styleId="layui-layer-title3">
    <w:name w:val="layui-layer-title3"/>
    <w:basedOn w:val="a"/>
    <w:pPr>
      <w:pBdr>
        <w:bottom w:val="single" w:sz="4" w:space="0" w:color="CCCCCC"/>
      </w:pBdr>
      <w:shd w:val="clear" w:color="auto" w:fill="EEEEEE"/>
      <w:spacing w:before="100" w:beforeAutospacing="1" w:after="100" w:afterAutospacing="1" w:line="504" w:lineRule="atLeast"/>
    </w:pPr>
    <w:rPr>
      <w:color w:val="333333"/>
      <w:sz w:val="17"/>
      <w:szCs w:val="17"/>
    </w:rPr>
  </w:style>
  <w:style w:type="character" w:customStyle="1" w:styleId="layui-layer-tabnow1">
    <w:name w:val="layui-layer-tabnow1"/>
    <w:basedOn w:val="a0"/>
    <w:rPr>
      <w:shd w:val="clear" w:color="auto" w:fill="FFFFFF"/>
    </w:rPr>
  </w:style>
  <w:style w:type="paragraph" w:customStyle="1" w:styleId="layui-layer-tabli1">
    <w:name w:val="layui-layer-tabli1"/>
    <w:basedOn w:val="a"/>
    <w:pPr>
      <w:spacing w:before="100" w:beforeAutospacing="1" w:after="100" w:afterAutospacing="1"/>
    </w:pPr>
    <w:rPr>
      <w:vanish/>
    </w:rPr>
  </w:style>
  <w:style w:type="paragraph" w:customStyle="1" w:styleId="layui-layer-content6">
    <w:name w:val="layui-layer-content6"/>
    <w:basedOn w:val="a"/>
    <w:pPr>
      <w:spacing w:before="100" w:beforeAutospacing="1" w:after="100" w:afterAutospacing="1"/>
      <w:jc w:val="center"/>
    </w:pPr>
  </w:style>
</w:styles>
</file>

<file path=word/webSettings.xml><?xml version="1.0" encoding="utf-8"?>
<w:webSettings xmlns:r="http://schemas.openxmlformats.org/officeDocument/2006/relationships" xmlns:w="http://schemas.openxmlformats.org/wordprocessingml/2006/main">
  <w:divs>
    <w:div w:id="627979040">
      <w:marLeft w:val="0"/>
      <w:marRight w:val="0"/>
      <w:marTop w:val="0"/>
      <w:marBottom w:val="0"/>
      <w:divBdr>
        <w:top w:val="none" w:sz="0" w:space="0" w:color="auto"/>
        <w:left w:val="none" w:sz="0" w:space="0" w:color="auto"/>
        <w:bottom w:val="none" w:sz="0" w:space="0" w:color="auto"/>
        <w:right w:val="none" w:sz="0" w:space="0" w:color="auto"/>
      </w:divBdr>
      <w:divsChild>
        <w:div w:id="843595812">
          <w:marLeft w:val="0"/>
          <w:marRight w:val="0"/>
          <w:marTop w:val="0"/>
          <w:marBottom w:val="0"/>
          <w:divBdr>
            <w:top w:val="none" w:sz="0" w:space="0" w:color="auto"/>
            <w:left w:val="none" w:sz="0" w:space="0" w:color="auto"/>
            <w:bottom w:val="none" w:sz="0" w:space="0" w:color="auto"/>
            <w:right w:val="none" w:sz="0" w:space="0" w:color="auto"/>
          </w:divBdr>
          <w:divsChild>
            <w:div w:id="447235101">
              <w:marLeft w:val="0"/>
              <w:marRight w:val="0"/>
              <w:marTop w:val="0"/>
              <w:marBottom w:val="0"/>
              <w:divBdr>
                <w:top w:val="none" w:sz="0" w:space="0" w:color="auto"/>
                <w:left w:val="none" w:sz="0" w:space="0" w:color="auto"/>
                <w:bottom w:val="none" w:sz="0" w:space="0" w:color="auto"/>
                <w:right w:val="none" w:sz="0" w:space="0" w:color="auto"/>
              </w:divBdr>
              <w:divsChild>
                <w:div w:id="15193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9802">
          <w:marLeft w:val="0"/>
          <w:marRight w:val="0"/>
          <w:marTop w:val="0"/>
          <w:marBottom w:val="0"/>
          <w:divBdr>
            <w:top w:val="none" w:sz="0" w:space="0" w:color="auto"/>
            <w:left w:val="none" w:sz="0" w:space="0" w:color="auto"/>
            <w:bottom w:val="none" w:sz="0" w:space="0" w:color="auto"/>
            <w:right w:val="none" w:sz="0" w:space="0" w:color="auto"/>
          </w:divBdr>
        </w:div>
        <w:div w:id="1963077619">
          <w:marLeft w:val="0"/>
          <w:marRight w:val="0"/>
          <w:marTop w:val="0"/>
          <w:marBottom w:val="0"/>
          <w:divBdr>
            <w:top w:val="none" w:sz="0" w:space="0" w:color="auto"/>
            <w:left w:val="none" w:sz="0" w:space="0" w:color="auto"/>
            <w:bottom w:val="none" w:sz="0" w:space="0" w:color="auto"/>
            <w:right w:val="none" w:sz="0" w:space="0" w:color="auto"/>
          </w:divBdr>
          <w:divsChild>
            <w:div w:id="235169966">
              <w:marLeft w:val="0"/>
              <w:marRight w:val="0"/>
              <w:marTop w:val="0"/>
              <w:marBottom w:val="0"/>
              <w:divBdr>
                <w:top w:val="none" w:sz="0" w:space="0" w:color="auto"/>
                <w:left w:val="none" w:sz="0" w:space="0" w:color="auto"/>
                <w:bottom w:val="none" w:sz="0" w:space="0" w:color="auto"/>
                <w:right w:val="none" w:sz="0" w:space="0" w:color="auto"/>
              </w:divBdr>
              <w:divsChild>
                <w:div w:id="461922119">
                  <w:marLeft w:val="0"/>
                  <w:marRight w:val="0"/>
                  <w:marTop w:val="0"/>
                  <w:marBottom w:val="0"/>
                  <w:divBdr>
                    <w:top w:val="none" w:sz="0" w:space="0" w:color="auto"/>
                    <w:left w:val="none" w:sz="0" w:space="0" w:color="auto"/>
                    <w:bottom w:val="none" w:sz="0" w:space="0" w:color="auto"/>
                    <w:right w:val="none" w:sz="0" w:space="0" w:color="auto"/>
                  </w:divBdr>
                </w:div>
                <w:div w:id="13360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4023">
          <w:marLeft w:val="0"/>
          <w:marRight w:val="0"/>
          <w:marTop w:val="0"/>
          <w:marBottom w:val="0"/>
          <w:divBdr>
            <w:top w:val="none" w:sz="0" w:space="0" w:color="auto"/>
            <w:left w:val="none" w:sz="0" w:space="0" w:color="auto"/>
            <w:bottom w:val="none" w:sz="0" w:space="0" w:color="auto"/>
            <w:right w:val="none" w:sz="0" w:space="0" w:color="auto"/>
          </w:divBdr>
          <w:divsChild>
            <w:div w:id="138041516">
              <w:marLeft w:val="0"/>
              <w:marRight w:val="0"/>
              <w:marTop w:val="0"/>
              <w:marBottom w:val="0"/>
              <w:divBdr>
                <w:top w:val="none" w:sz="0" w:space="0" w:color="auto"/>
                <w:left w:val="none" w:sz="0" w:space="0" w:color="auto"/>
                <w:bottom w:val="none" w:sz="0" w:space="0" w:color="auto"/>
                <w:right w:val="none" w:sz="0" w:space="0" w:color="auto"/>
              </w:divBdr>
            </w:div>
            <w:div w:id="827939742">
              <w:marLeft w:val="0"/>
              <w:marRight w:val="0"/>
              <w:marTop w:val="0"/>
              <w:marBottom w:val="0"/>
              <w:divBdr>
                <w:top w:val="none" w:sz="0" w:space="0" w:color="auto"/>
                <w:left w:val="none" w:sz="0" w:space="0" w:color="auto"/>
                <w:bottom w:val="none" w:sz="0" w:space="0" w:color="auto"/>
                <w:right w:val="none" w:sz="0" w:space="0" w:color="auto"/>
              </w:divBdr>
              <w:divsChild>
                <w:div w:id="1638607556">
                  <w:marLeft w:val="0"/>
                  <w:marRight w:val="0"/>
                  <w:marTop w:val="0"/>
                  <w:marBottom w:val="0"/>
                  <w:divBdr>
                    <w:top w:val="none" w:sz="0" w:space="0" w:color="auto"/>
                    <w:left w:val="none" w:sz="0" w:space="0" w:color="auto"/>
                    <w:bottom w:val="none" w:sz="0" w:space="0" w:color="auto"/>
                    <w:right w:val="none" w:sz="0" w:space="0" w:color="auto"/>
                  </w:divBdr>
                  <w:divsChild>
                    <w:div w:id="925109907">
                      <w:marLeft w:val="0"/>
                      <w:marRight w:val="0"/>
                      <w:marTop w:val="0"/>
                      <w:marBottom w:val="0"/>
                      <w:divBdr>
                        <w:top w:val="none" w:sz="0" w:space="0" w:color="auto"/>
                        <w:left w:val="none" w:sz="0" w:space="0" w:color="auto"/>
                        <w:bottom w:val="none" w:sz="0" w:space="0" w:color="auto"/>
                        <w:right w:val="none" w:sz="0" w:space="0" w:color="auto"/>
                      </w:divBdr>
                      <w:divsChild>
                        <w:div w:id="1676571013">
                          <w:marLeft w:val="0"/>
                          <w:marRight w:val="0"/>
                          <w:marTop w:val="0"/>
                          <w:marBottom w:val="0"/>
                          <w:divBdr>
                            <w:top w:val="none" w:sz="0" w:space="0" w:color="auto"/>
                            <w:left w:val="none" w:sz="0" w:space="0" w:color="auto"/>
                            <w:bottom w:val="none" w:sz="0" w:space="0" w:color="auto"/>
                            <w:right w:val="none" w:sz="0" w:space="0" w:color="auto"/>
                          </w:divBdr>
                        </w:div>
                      </w:divsChild>
                    </w:div>
                    <w:div w:id="1734423915">
                      <w:marLeft w:val="0"/>
                      <w:marRight w:val="0"/>
                      <w:marTop w:val="0"/>
                      <w:marBottom w:val="0"/>
                      <w:divBdr>
                        <w:top w:val="none" w:sz="0" w:space="0" w:color="auto"/>
                        <w:left w:val="none" w:sz="0" w:space="0" w:color="auto"/>
                        <w:bottom w:val="none" w:sz="0" w:space="0" w:color="auto"/>
                        <w:right w:val="none" w:sz="0" w:space="0" w:color="auto"/>
                      </w:divBdr>
                      <w:divsChild>
                        <w:div w:id="20672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9980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8)"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3439</Words>
  <Characters>280</Characters>
  <Application>Microsoft Office Word</Application>
  <DocSecurity>0</DocSecurity>
  <Lines>2</Lines>
  <Paragraphs>7</Paragraphs>
  <ScaleCrop>false</ScaleCrop>
  <Company>CHINA</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韶关市人民政府-韶关市人民政府关于印发韶关市促进新兴支柱产业发展若干措施的通知(韶府〔2018〕1号)</dc:title>
  <dc:subject/>
  <dc:creator>linfan</dc:creator>
  <cp:keywords/>
  <dc:description/>
  <cp:lastModifiedBy>linfan</cp:lastModifiedBy>
  <cp:revision>2</cp:revision>
  <dcterms:created xsi:type="dcterms:W3CDTF">2018-05-07T14:38:00Z</dcterms:created>
  <dcterms:modified xsi:type="dcterms:W3CDTF">2018-05-07T14:38:00Z</dcterms:modified>
</cp:coreProperties>
</file>