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75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1"/>
      </w:tblGrid>
      <w:tr w:rsidR="004B3545" w:rsidRPr="004B3545">
        <w:trPr>
          <w:trHeight w:val="750"/>
          <w:tblCellSpacing w:w="0" w:type="dxa"/>
          <w:jc w:val="center"/>
        </w:trPr>
        <w:tc>
          <w:tcPr>
            <w:tcW w:w="14400" w:type="dxa"/>
            <w:vAlign w:val="center"/>
            <w:hideMark/>
          </w:tcPr>
          <w:p w:rsidR="004B3545" w:rsidRPr="004B3545" w:rsidRDefault="004B3545" w:rsidP="004B3545">
            <w:pPr>
              <w:widowControl/>
              <w:spacing w:before="300" w:after="300"/>
              <w:jc w:val="center"/>
              <w:rPr>
                <w:rFonts w:ascii="微软雅黑" w:eastAsia="微软雅黑" w:hAnsi="微软雅黑" w:cs="宋体"/>
                <w:b/>
                <w:bCs/>
                <w:color w:val="E10800"/>
                <w:kern w:val="0"/>
                <w:sz w:val="27"/>
                <w:szCs w:val="27"/>
              </w:rPr>
            </w:pPr>
            <w:r w:rsidRPr="004B3545">
              <w:rPr>
                <w:rFonts w:ascii="微软雅黑" w:eastAsia="微软雅黑" w:hAnsi="微软雅黑" w:cs="宋体" w:hint="eastAsia"/>
                <w:b/>
                <w:bCs/>
                <w:color w:val="E10800"/>
                <w:kern w:val="0"/>
                <w:sz w:val="27"/>
                <w:szCs w:val="27"/>
              </w:rPr>
              <w:t>市人力社保局市外专局市财政局</w:t>
            </w:r>
            <w:bookmarkStart w:id="0" w:name="_GoBack"/>
            <w:r w:rsidRPr="004B3545">
              <w:rPr>
                <w:rFonts w:ascii="微软雅黑" w:eastAsia="微软雅黑" w:hAnsi="微软雅黑" w:cs="宋体" w:hint="eastAsia"/>
                <w:b/>
                <w:bCs/>
                <w:color w:val="E10800"/>
                <w:kern w:val="0"/>
                <w:sz w:val="27"/>
                <w:szCs w:val="27"/>
              </w:rPr>
              <w:t>关于印发天津市引进国（境）外智力项目专项资金管理办法的通知</w:t>
            </w:r>
            <w:bookmarkEnd w:id="0"/>
          </w:p>
        </w:tc>
      </w:tr>
    </w:tbl>
    <w:p w:rsidR="004B3545" w:rsidRPr="004B3545" w:rsidRDefault="004B3545" w:rsidP="004B3545">
      <w:pPr>
        <w:widowControl/>
        <w:jc w:val="center"/>
        <w:rPr>
          <w:rFonts w:ascii="微软雅黑" w:eastAsia="微软雅黑" w:hAnsi="微软雅黑" w:cs="宋体" w:hint="eastAsia"/>
          <w:color w:val="3C3C3C"/>
          <w:kern w:val="0"/>
          <w:sz w:val="18"/>
          <w:szCs w:val="18"/>
        </w:rPr>
      </w:pPr>
    </w:p>
    <w:p w:rsidR="004B3545" w:rsidRPr="004B3545" w:rsidRDefault="004B3545" w:rsidP="004B3545">
      <w:pPr>
        <w:widowControl/>
        <w:wordWrap w:val="0"/>
        <w:snapToGrid w:val="0"/>
        <w:spacing w:line="600" w:lineRule="exac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4B3545">
        <w:rPr>
          <w:rFonts w:ascii="仿宋_gb2312" w:eastAsia="仿宋_gb2312" w:hAnsi="宋体" w:cs="宋体" w:hint="eastAsia"/>
          <w:color w:val="000000"/>
          <w:kern w:val="0"/>
          <w:sz w:val="32"/>
          <w:szCs w:val="36"/>
        </w:rPr>
        <w:t>有关单位：</w:t>
      </w:r>
    </w:p>
    <w:p w:rsidR="004B3545" w:rsidRPr="004B3545" w:rsidRDefault="004B3545" w:rsidP="004B3545">
      <w:pPr>
        <w:widowControl/>
        <w:wordWrap w:val="0"/>
        <w:spacing w:line="660" w:lineRule="exact"/>
        <w:ind w:firstLineChars="200" w:firstLine="64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B3545">
        <w:rPr>
          <w:rFonts w:ascii="Times New Roman" w:eastAsia="仿宋_gb2312" w:hAnsi="宋体" w:cs="宋体" w:hint="eastAsia"/>
          <w:color w:val="000000"/>
          <w:kern w:val="0"/>
          <w:sz w:val="32"/>
          <w:szCs w:val="20"/>
        </w:rPr>
        <w:t>根据国家和我市的相关政策规定，我们对《天津市引进国外智力专项资金管理暂行办法》（津</w:t>
      </w:r>
      <w:proofErr w:type="gramStart"/>
      <w:r w:rsidRPr="004B3545">
        <w:rPr>
          <w:rFonts w:ascii="Times New Roman" w:eastAsia="仿宋_gb2312" w:hAnsi="宋体" w:cs="宋体" w:hint="eastAsia"/>
          <w:color w:val="000000"/>
          <w:kern w:val="0"/>
          <w:sz w:val="32"/>
          <w:szCs w:val="20"/>
        </w:rPr>
        <w:t>人社局</w:t>
      </w:r>
      <w:proofErr w:type="gramEnd"/>
      <w:r w:rsidRPr="004B3545">
        <w:rPr>
          <w:rFonts w:ascii="Times New Roman" w:eastAsia="仿宋_gb2312" w:hAnsi="宋体" w:cs="宋体" w:hint="eastAsia"/>
          <w:color w:val="000000"/>
          <w:kern w:val="0"/>
          <w:sz w:val="32"/>
          <w:szCs w:val="20"/>
        </w:rPr>
        <w:t>发〔</w:t>
      </w:r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20"/>
        </w:rPr>
        <w:t>2012</w:t>
      </w:r>
      <w:r w:rsidRPr="004B3545">
        <w:rPr>
          <w:rFonts w:ascii="Times New Roman" w:eastAsia="仿宋_gb2312" w:hAnsi="宋体" w:cs="宋体" w:hint="eastAsia"/>
          <w:color w:val="000000"/>
          <w:kern w:val="0"/>
          <w:sz w:val="32"/>
          <w:szCs w:val="20"/>
        </w:rPr>
        <w:t>〕</w:t>
      </w:r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20"/>
        </w:rPr>
        <w:t>35</w:t>
      </w:r>
      <w:r w:rsidRPr="004B3545">
        <w:rPr>
          <w:rFonts w:ascii="Times New Roman" w:eastAsia="仿宋_gb2312" w:hAnsi="宋体" w:cs="宋体" w:hint="eastAsia"/>
          <w:color w:val="000000"/>
          <w:kern w:val="0"/>
          <w:sz w:val="32"/>
          <w:szCs w:val="20"/>
        </w:rPr>
        <w:t>号）进行了修订完善，制定《天津市引进国（境）外智力项目专项资金管理办法》。现印发给你们，请遵照执行。</w:t>
      </w:r>
    </w:p>
    <w:p w:rsidR="004B3545" w:rsidRPr="004B3545" w:rsidRDefault="004B3545" w:rsidP="004B3545">
      <w:pPr>
        <w:widowControl/>
        <w:wordWrap w:val="0"/>
        <w:snapToGrid w:val="0"/>
        <w:spacing w:line="600" w:lineRule="exac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4B3545">
        <w:rPr>
          <w:rFonts w:ascii="Times New Roman" w:eastAsia="仿宋_gb2312" w:hAnsi="Times New Roman" w:cs="Times New Roman"/>
          <w:color w:val="000000"/>
          <w:kern w:val="0"/>
          <w:sz w:val="32"/>
          <w:szCs w:val="36"/>
        </w:rPr>
        <w:t> </w:t>
      </w:r>
    </w:p>
    <w:p w:rsidR="004B3545" w:rsidRPr="004B3545" w:rsidRDefault="004B3545" w:rsidP="004B3545">
      <w:pPr>
        <w:widowControl/>
        <w:wordWrap w:val="0"/>
        <w:snapToGrid w:val="0"/>
        <w:spacing w:line="600" w:lineRule="exac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B3545">
        <w:rPr>
          <w:rFonts w:ascii="Times New Roman" w:eastAsia="仿宋_gb2312" w:hAnsi="Times New Roman" w:cs="Times New Roman"/>
          <w:color w:val="000000"/>
          <w:kern w:val="0"/>
          <w:sz w:val="32"/>
          <w:szCs w:val="36"/>
        </w:rPr>
        <w:t> </w:t>
      </w:r>
    </w:p>
    <w:p w:rsidR="004B3545" w:rsidRPr="004B3545" w:rsidRDefault="004B3545" w:rsidP="004B3545">
      <w:pPr>
        <w:widowControl/>
        <w:wordWrap w:val="0"/>
        <w:snapToGrid w:val="0"/>
        <w:spacing w:line="600" w:lineRule="exac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B3545">
        <w:rPr>
          <w:rFonts w:ascii="Times New Roman" w:eastAsia="仿宋_gb2312" w:hAnsi="Times New Roman" w:cs="Times New Roman"/>
          <w:color w:val="000000"/>
          <w:kern w:val="0"/>
          <w:sz w:val="32"/>
          <w:szCs w:val="36"/>
        </w:rPr>
        <w:t> </w:t>
      </w:r>
    </w:p>
    <w:p w:rsidR="004B3545" w:rsidRPr="004B3545" w:rsidRDefault="004B3545" w:rsidP="004B3545">
      <w:pPr>
        <w:widowControl/>
        <w:wordWrap w:val="0"/>
        <w:snapToGrid w:val="0"/>
        <w:spacing w:line="600" w:lineRule="exact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B3545">
        <w:rPr>
          <w:rFonts w:ascii="Times New Roman" w:eastAsia="仿宋_gb2312" w:hAnsi="宋体" w:cs="宋体" w:hint="eastAsia"/>
          <w:color w:val="000000"/>
          <w:kern w:val="0"/>
          <w:sz w:val="32"/>
          <w:szCs w:val="36"/>
        </w:rPr>
        <w:t>市人力社保局</w:t>
      </w:r>
      <w:r w:rsidRPr="004B3545">
        <w:rPr>
          <w:rFonts w:ascii="Times New Roman" w:eastAsia="仿宋_gb2312" w:hAnsi="Times New Roman" w:cs="Times New Roman"/>
          <w:color w:val="000000"/>
          <w:kern w:val="0"/>
          <w:sz w:val="32"/>
          <w:szCs w:val="36"/>
        </w:rPr>
        <w:t xml:space="preserve">       </w:t>
      </w:r>
      <w:r w:rsidRPr="004B3545">
        <w:rPr>
          <w:rFonts w:ascii="Times New Roman" w:eastAsia="仿宋_gb2312" w:hAnsi="宋体" w:cs="宋体" w:hint="eastAsia"/>
          <w:color w:val="000000"/>
          <w:kern w:val="0"/>
          <w:sz w:val="32"/>
          <w:szCs w:val="36"/>
        </w:rPr>
        <w:t>市外专局</w:t>
      </w:r>
      <w:r w:rsidRPr="004B3545">
        <w:rPr>
          <w:rFonts w:ascii="Times New Roman" w:eastAsia="仿宋_gb2312" w:hAnsi="Times New Roman" w:cs="Times New Roman"/>
          <w:color w:val="000000"/>
          <w:kern w:val="0"/>
          <w:sz w:val="32"/>
          <w:szCs w:val="36"/>
        </w:rPr>
        <w:t xml:space="preserve">       </w:t>
      </w:r>
      <w:r w:rsidRPr="004B3545">
        <w:rPr>
          <w:rFonts w:ascii="Times New Roman" w:eastAsia="仿宋_gb2312" w:hAnsi="宋体" w:cs="宋体" w:hint="eastAsia"/>
          <w:color w:val="000000"/>
          <w:kern w:val="0"/>
          <w:sz w:val="32"/>
          <w:szCs w:val="36"/>
        </w:rPr>
        <w:t>市财政局</w:t>
      </w:r>
    </w:p>
    <w:p w:rsidR="004B3545" w:rsidRPr="004B3545" w:rsidRDefault="004B3545" w:rsidP="004B3545">
      <w:pPr>
        <w:widowControl/>
        <w:wordWrap w:val="0"/>
        <w:spacing w:before="100" w:beforeAutospacing="1" w:after="100" w:afterAutospacing="1" w:line="432" w:lineRule="auto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B3545">
        <w:rPr>
          <w:rFonts w:ascii="Times New Roman" w:eastAsia="仿宋_gb2312" w:hAnsi="Times New Roman" w:cs="Times New Roman"/>
          <w:color w:val="000000"/>
          <w:kern w:val="0"/>
          <w:sz w:val="32"/>
          <w:szCs w:val="36"/>
        </w:rPr>
        <w:t>2018</w:t>
      </w:r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6"/>
        </w:rPr>
        <w:t>年</w:t>
      </w:r>
      <w:r w:rsidRPr="004B3545">
        <w:rPr>
          <w:rFonts w:ascii="Times New Roman" w:eastAsia="仿宋_gb2312" w:hAnsi="Times New Roman" w:cs="Times New Roman"/>
          <w:color w:val="000000"/>
          <w:kern w:val="0"/>
          <w:sz w:val="32"/>
          <w:szCs w:val="36"/>
        </w:rPr>
        <w:t>3</w:t>
      </w:r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6"/>
        </w:rPr>
        <w:t>月</w:t>
      </w:r>
      <w:r w:rsidRPr="004B3545">
        <w:rPr>
          <w:rFonts w:ascii="Times New Roman" w:eastAsia="仿宋_gb2312" w:hAnsi="Times New Roman" w:cs="Times New Roman"/>
          <w:color w:val="000000"/>
          <w:kern w:val="0"/>
          <w:sz w:val="32"/>
          <w:szCs w:val="36"/>
        </w:rPr>
        <w:t>6</w:t>
      </w:r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6"/>
        </w:rPr>
        <w:t>日</w:t>
      </w:r>
    </w:p>
    <w:p w:rsidR="004B3545" w:rsidRPr="004B3545" w:rsidRDefault="004B3545" w:rsidP="004B3545">
      <w:pPr>
        <w:widowControl/>
        <w:wordWrap w:val="0"/>
        <w:spacing w:before="100" w:beforeAutospacing="1" w:after="100" w:afterAutospacing="1" w:line="432" w:lineRule="auto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4B354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4B3545" w:rsidRPr="004B3545" w:rsidRDefault="004B3545" w:rsidP="004B3545">
      <w:pPr>
        <w:widowControl/>
        <w:wordWrap w:val="0"/>
        <w:spacing w:line="660" w:lineRule="exact"/>
        <w:jc w:val="center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4B3545">
        <w:rPr>
          <w:rFonts w:ascii="Times New Roman" w:eastAsia="方正小标宋简体" w:hAnsi="Times New Roman" w:cs="Times New Roman" w:hint="eastAsia"/>
          <w:bCs/>
          <w:color w:val="000000"/>
          <w:kern w:val="0"/>
          <w:sz w:val="48"/>
          <w:szCs w:val="44"/>
        </w:rPr>
        <w:t>天津市引进国（境）外智力项目</w:t>
      </w:r>
    </w:p>
    <w:p w:rsidR="004B3545" w:rsidRPr="004B3545" w:rsidRDefault="004B3545" w:rsidP="004B3545">
      <w:pPr>
        <w:widowControl/>
        <w:wordWrap w:val="0"/>
        <w:spacing w:line="660" w:lineRule="exact"/>
        <w:jc w:val="center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4B3545">
        <w:rPr>
          <w:rFonts w:ascii="Times New Roman" w:eastAsia="方正小标宋简体" w:hAnsi="Times New Roman" w:cs="Times New Roman" w:hint="eastAsia"/>
          <w:bCs/>
          <w:color w:val="000000"/>
          <w:kern w:val="0"/>
          <w:sz w:val="48"/>
          <w:szCs w:val="44"/>
        </w:rPr>
        <w:t>专项资金管理办法</w:t>
      </w:r>
    </w:p>
    <w:p w:rsidR="004B3545" w:rsidRPr="004B3545" w:rsidRDefault="004B3545" w:rsidP="004B3545">
      <w:pPr>
        <w:widowControl/>
        <w:wordWrap w:val="0"/>
        <w:spacing w:line="480" w:lineRule="exac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4B3545">
        <w:rPr>
          <w:rFonts w:ascii="Times New Roman" w:eastAsia="楷体_gb2312" w:hAnsi="Times New Roman" w:cs="Times New Roman"/>
          <w:bCs/>
          <w:color w:val="000000"/>
          <w:kern w:val="0"/>
          <w:sz w:val="32"/>
          <w:szCs w:val="32"/>
        </w:rPr>
        <w:t xml:space="preserve"> </w:t>
      </w:r>
    </w:p>
    <w:p w:rsidR="004B3545" w:rsidRPr="004B3545" w:rsidRDefault="004B3545" w:rsidP="004B3545">
      <w:pPr>
        <w:widowControl/>
        <w:wordWrap w:val="0"/>
        <w:snapToGrid w:val="0"/>
        <w:spacing w:line="360" w:lineRule="auto"/>
        <w:jc w:val="center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4B3545">
        <w:rPr>
          <w:rFonts w:ascii="Times New Roman" w:eastAsia="黑体" w:hAnsi="黑体" w:cs="Times New Roman" w:hint="eastAsia"/>
          <w:color w:val="000000"/>
          <w:kern w:val="0"/>
          <w:sz w:val="32"/>
          <w:szCs w:val="32"/>
        </w:rPr>
        <w:t>第一章</w:t>
      </w:r>
      <w:r w:rsidRPr="004B3545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 xml:space="preserve">  </w:t>
      </w:r>
      <w:r w:rsidRPr="004B3545">
        <w:rPr>
          <w:rFonts w:ascii="Times New Roman" w:eastAsia="黑体" w:hAnsi="黑体" w:cs="Times New Roman" w:hint="eastAsia"/>
          <w:color w:val="000000"/>
          <w:kern w:val="0"/>
          <w:sz w:val="32"/>
          <w:szCs w:val="32"/>
        </w:rPr>
        <w:t>总</w:t>
      </w:r>
      <w:r w:rsidRPr="004B3545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 xml:space="preserve">  </w:t>
      </w:r>
      <w:r w:rsidRPr="004B3545">
        <w:rPr>
          <w:rFonts w:ascii="Times New Roman" w:eastAsia="黑体" w:hAnsi="黑体" w:cs="Times New Roman" w:hint="eastAsia"/>
          <w:color w:val="000000"/>
          <w:kern w:val="0"/>
          <w:sz w:val="32"/>
          <w:szCs w:val="32"/>
        </w:rPr>
        <w:t>则</w:t>
      </w:r>
    </w:p>
    <w:p w:rsidR="004B3545" w:rsidRPr="004B3545" w:rsidRDefault="004B3545" w:rsidP="004B3545">
      <w:pPr>
        <w:widowControl/>
        <w:wordWrap w:val="0"/>
        <w:snapToGrid w:val="0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B3545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 xml:space="preserve"> </w:t>
      </w:r>
    </w:p>
    <w:p w:rsidR="004B3545" w:rsidRPr="004B3545" w:rsidRDefault="004B3545" w:rsidP="004B3545">
      <w:pPr>
        <w:widowControl/>
        <w:wordWrap w:val="0"/>
        <w:snapToGrid w:val="0"/>
        <w:spacing w:line="360" w:lineRule="auto"/>
        <w:ind w:firstLineChars="200"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B3545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 xml:space="preserve">第一条  </w:t>
      </w:r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为规范本市引进国（境）外智力项目专项资金（以下简称</w:t>
      </w:r>
      <w:r w:rsidRPr="004B3545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“</w:t>
      </w:r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引智资金</w:t>
      </w:r>
      <w:r w:rsidRPr="004B3545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”</w:t>
      </w:r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）管理，提高使用效率，强化预算</w:t>
      </w:r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lastRenderedPageBreak/>
        <w:t>监督职能，根据《财政部外交部关于调整因公临时出国住宿费标准等有关事项的通知》（</w:t>
      </w:r>
      <w:proofErr w:type="gramStart"/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财行</w:t>
      </w:r>
      <w:r w:rsidRPr="004B3545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〔</w:t>
      </w:r>
      <w:r w:rsidRPr="004B3545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2017</w:t>
      </w:r>
      <w:r w:rsidRPr="004B3545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〕</w:t>
      </w:r>
      <w:proofErr w:type="gramEnd"/>
      <w:r w:rsidRPr="004B3545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434</w:t>
      </w:r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号）、《外国文教专家经费管理暂行办法》（外专发</w:t>
      </w:r>
      <w:r w:rsidRPr="004B3545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〔</w:t>
      </w:r>
      <w:r w:rsidRPr="004B3545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2016</w:t>
      </w:r>
      <w:r w:rsidRPr="004B3545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〕</w:t>
      </w:r>
      <w:r w:rsidRPr="004B3545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85</w:t>
      </w:r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号）等规定，结合本市实际，制定本办法。</w:t>
      </w:r>
    </w:p>
    <w:p w:rsidR="004B3545" w:rsidRPr="004B3545" w:rsidRDefault="004B3545" w:rsidP="004B3545">
      <w:pPr>
        <w:widowControl/>
        <w:wordWrap w:val="0"/>
        <w:snapToGrid w:val="0"/>
        <w:spacing w:line="360" w:lineRule="auto"/>
        <w:ind w:firstLineChars="200"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B3545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 xml:space="preserve">第二条  </w:t>
      </w:r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引智资金的使用坚持突出重点、严格标准、专款专用、注重实效的原则。</w:t>
      </w:r>
    </w:p>
    <w:p w:rsidR="004B3545" w:rsidRPr="004B3545" w:rsidRDefault="004B3545" w:rsidP="004B3545">
      <w:pPr>
        <w:widowControl/>
        <w:wordWrap w:val="0"/>
        <w:snapToGrid w:val="0"/>
        <w:spacing w:line="360" w:lineRule="auto"/>
        <w:ind w:firstLineChars="200"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B3545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 xml:space="preserve">第三条  </w:t>
      </w:r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引智资金纳入市级财政预算管理，实行单独记账、独立核算，任何部门、单位和个人不得挤占挪用，不得以任何理由提取管理费。</w:t>
      </w:r>
    </w:p>
    <w:p w:rsidR="004B3545" w:rsidRPr="004B3545" w:rsidRDefault="004B3545" w:rsidP="004B3545">
      <w:pPr>
        <w:widowControl/>
        <w:wordWrap w:val="0"/>
        <w:snapToGrid w:val="0"/>
        <w:spacing w:line="360" w:lineRule="auto"/>
        <w:ind w:firstLineChars="200"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B3545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 xml:space="preserve">第四条  </w:t>
      </w:r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引智资金主要用于资助引进国（境）外专家项目（以下简称</w:t>
      </w:r>
      <w:r w:rsidRPr="004B3545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“</w:t>
      </w:r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境外专家项目</w:t>
      </w:r>
      <w:r w:rsidRPr="004B3545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”</w:t>
      </w:r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）和因公出国（境）培训项目（以下简称</w:t>
      </w:r>
      <w:r w:rsidRPr="004B3545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“</w:t>
      </w:r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境外培训项目</w:t>
      </w:r>
      <w:r w:rsidRPr="004B3545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”</w:t>
      </w:r>
      <w:r w:rsidRPr="004B3545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)</w:t>
      </w:r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，项目立项按照国家和本市有关规定执行。对于国家立项资助的项目，引智资金可予以资助。</w:t>
      </w:r>
    </w:p>
    <w:p w:rsidR="004B3545" w:rsidRPr="004B3545" w:rsidRDefault="004B3545" w:rsidP="004B3545">
      <w:pPr>
        <w:widowControl/>
        <w:wordWrap w:val="0"/>
        <w:snapToGrid w:val="0"/>
        <w:spacing w:line="360" w:lineRule="auto"/>
        <w:ind w:firstLineChars="200"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B3545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 xml:space="preserve">第五条 </w:t>
      </w:r>
      <w:r w:rsidRPr="004B3545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</w:t>
      </w:r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市外专局负责开展引进国（境）外智力项目（包括境外专家项目和境外培训项目，以下简称</w:t>
      </w:r>
      <w:r w:rsidRPr="004B3545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“</w:t>
      </w:r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引智项目</w:t>
      </w:r>
      <w:r w:rsidRPr="004B3545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”</w:t>
      </w:r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）的申报和评审、资助计划的编制，以及引智资金的划拨、核销、监督检查等工作。</w:t>
      </w:r>
    </w:p>
    <w:p w:rsidR="004B3545" w:rsidRPr="004B3545" w:rsidRDefault="004B3545" w:rsidP="004B3545">
      <w:pPr>
        <w:widowControl/>
        <w:wordWrap w:val="0"/>
        <w:snapToGrid w:val="0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B3545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 xml:space="preserve"> </w:t>
      </w:r>
    </w:p>
    <w:p w:rsidR="004B3545" w:rsidRPr="004B3545" w:rsidRDefault="004B3545" w:rsidP="004B3545">
      <w:pPr>
        <w:widowControl/>
        <w:wordWrap w:val="0"/>
        <w:snapToGrid w:val="0"/>
        <w:spacing w:line="360" w:lineRule="auto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B3545">
        <w:rPr>
          <w:rFonts w:ascii="Times New Roman" w:eastAsia="黑体" w:hAnsi="黑体" w:cs="Times New Roman" w:hint="eastAsia"/>
          <w:color w:val="000000"/>
          <w:kern w:val="0"/>
          <w:sz w:val="32"/>
          <w:szCs w:val="32"/>
        </w:rPr>
        <w:t>第二章</w:t>
      </w:r>
      <w:r w:rsidRPr="004B3545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 xml:space="preserve">  </w:t>
      </w:r>
      <w:r w:rsidRPr="004B3545">
        <w:rPr>
          <w:rFonts w:ascii="Times New Roman" w:eastAsia="黑体" w:hAnsi="黑体" w:cs="Times New Roman" w:hint="eastAsia"/>
          <w:color w:val="000000"/>
          <w:kern w:val="0"/>
          <w:sz w:val="32"/>
          <w:szCs w:val="32"/>
        </w:rPr>
        <w:t>境外专家项目资助范围和标准</w:t>
      </w:r>
    </w:p>
    <w:p w:rsidR="004B3545" w:rsidRPr="004B3545" w:rsidRDefault="004B3545" w:rsidP="004B3545">
      <w:pPr>
        <w:widowControl/>
        <w:wordWrap w:val="0"/>
        <w:snapToGrid w:val="0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B3545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 xml:space="preserve"> </w:t>
      </w:r>
    </w:p>
    <w:p w:rsidR="004B3545" w:rsidRPr="004B3545" w:rsidRDefault="004B3545" w:rsidP="004B3545">
      <w:pPr>
        <w:widowControl/>
        <w:wordWrap w:val="0"/>
        <w:snapToGrid w:val="0"/>
        <w:spacing w:line="360" w:lineRule="auto"/>
        <w:ind w:firstLineChars="200"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B3545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 xml:space="preserve">第六条  </w:t>
      </w:r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境外专家项目经费资助范围包括：旅费、住宿费、专家咨询费或专家工薪，以及其他费用。</w:t>
      </w:r>
    </w:p>
    <w:p w:rsidR="004B3545" w:rsidRPr="004B3545" w:rsidRDefault="004B3545" w:rsidP="004B3545">
      <w:pPr>
        <w:widowControl/>
        <w:wordWrap w:val="0"/>
        <w:snapToGrid w:val="0"/>
        <w:spacing w:line="360" w:lineRule="auto"/>
        <w:ind w:firstLineChars="200"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lastRenderedPageBreak/>
        <w:t>旅费是指专家从国（境）外到中国出（入）</w:t>
      </w:r>
      <w:proofErr w:type="gramStart"/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境口岸</w:t>
      </w:r>
      <w:proofErr w:type="gramEnd"/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之间的往返国际机票费用，以及专家从中国境内出（入）</w:t>
      </w:r>
      <w:proofErr w:type="gramStart"/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境口岸</w:t>
      </w:r>
      <w:proofErr w:type="gramEnd"/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到本市和本市到其他工作城市之间的往返交通费用，据实报销。</w:t>
      </w:r>
    </w:p>
    <w:p w:rsidR="004B3545" w:rsidRPr="004B3545" w:rsidRDefault="004B3545" w:rsidP="004B3545">
      <w:pPr>
        <w:widowControl/>
        <w:wordWrap w:val="0"/>
        <w:snapToGrid w:val="0"/>
        <w:spacing w:line="360" w:lineRule="auto"/>
        <w:ind w:firstLineChars="200"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住宿费是指专家在中国境内工作期间的住宿费用，最高资助标准为每人每天</w:t>
      </w:r>
      <w:r w:rsidRPr="004B3545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700</w:t>
      </w:r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元人民币，凭有效发票按实际住宿天数在资助标准内据实报销。</w:t>
      </w:r>
    </w:p>
    <w:p w:rsidR="004B3545" w:rsidRPr="004B3545" w:rsidRDefault="004B3545" w:rsidP="004B3545">
      <w:pPr>
        <w:widowControl/>
        <w:wordWrap w:val="0"/>
        <w:snapToGrid w:val="0"/>
        <w:spacing w:line="360" w:lineRule="auto"/>
        <w:ind w:firstLineChars="200"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专家咨询费是指项目单位支付国（境）外专家受聘来津咨询、讲学、技术服务等劳务的报酬，最高资助标准为每人每天</w:t>
      </w:r>
      <w:r w:rsidRPr="004B3545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1000</w:t>
      </w:r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元人民币。专家咨询</w:t>
      </w:r>
      <w:proofErr w:type="gramStart"/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费按照</w:t>
      </w:r>
      <w:proofErr w:type="gramEnd"/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专家在华实际工作天数发放，最长不超过专家每次入境日起至出境日止的天数。</w:t>
      </w:r>
    </w:p>
    <w:p w:rsidR="004B3545" w:rsidRPr="004B3545" w:rsidRDefault="004B3545" w:rsidP="004B3545">
      <w:pPr>
        <w:widowControl/>
        <w:wordWrap w:val="0"/>
        <w:snapToGrid w:val="0"/>
        <w:spacing w:line="360" w:lineRule="auto"/>
        <w:ind w:firstLineChars="200"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专家工薪是指项目单位与国（境）外专家通过签订工作协议，以月薪或年薪等方式向国（境）外专家支付的各类劳动报酬、住房补贴，以及缴纳的社会保险费等。获得资助专家工薪的，不再支付专家咨询费。</w:t>
      </w:r>
    </w:p>
    <w:p w:rsidR="004B3545" w:rsidRPr="004B3545" w:rsidRDefault="004B3545" w:rsidP="004B3545">
      <w:pPr>
        <w:widowControl/>
        <w:wordWrap w:val="0"/>
        <w:snapToGrid w:val="0"/>
        <w:spacing w:line="360" w:lineRule="auto"/>
        <w:ind w:firstLineChars="200"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其他费用是指项目单位因组织实施境外专家项目而发生的国（境）外专家签证、在华人身保险、翻译、市内交通、租车等相关费用。单个项目其他费用的最高资助标准为</w:t>
      </w:r>
      <w:r w:rsidRPr="004B3545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</w:t>
      </w:r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万元人民币。</w:t>
      </w:r>
    </w:p>
    <w:p w:rsidR="004B3545" w:rsidRPr="004B3545" w:rsidRDefault="004B3545" w:rsidP="004B3545">
      <w:pPr>
        <w:widowControl/>
        <w:wordWrap w:val="0"/>
        <w:snapToGrid w:val="0"/>
        <w:spacing w:line="360" w:lineRule="auto"/>
        <w:ind w:firstLineChars="200"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B3545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 xml:space="preserve">第七条  </w:t>
      </w:r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境外专家项目按照项目类别分别给予资助，并实行总额控制。境外专家项目类别的划分，按照市外专</w:t>
      </w:r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lastRenderedPageBreak/>
        <w:t>局《关于印发〈天津市境外专家项目管理办法〉意见的通知》（</w:t>
      </w:r>
      <w:proofErr w:type="gramStart"/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津外专发</w:t>
      </w:r>
      <w:proofErr w:type="gramEnd"/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〔</w:t>
      </w:r>
      <w:r w:rsidRPr="004B3545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2017</w:t>
      </w:r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〕</w:t>
      </w:r>
      <w:r w:rsidRPr="004B3545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24</w:t>
      </w:r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号）执行。</w:t>
      </w:r>
    </w:p>
    <w:p w:rsidR="004B3545" w:rsidRPr="004B3545" w:rsidRDefault="004B3545" w:rsidP="004B3545">
      <w:pPr>
        <w:widowControl/>
        <w:wordWrap w:val="0"/>
        <w:snapToGrid w:val="0"/>
        <w:spacing w:line="360" w:lineRule="auto"/>
        <w:ind w:firstLineChars="200"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首席境外专家项目，资助旅费、住宿费、专家咨询费或专家工薪、其他费用。单个项目最高资助标准为</w:t>
      </w:r>
      <w:r w:rsidRPr="004B3545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50</w:t>
      </w:r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万元人民币。</w:t>
      </w:r>
    </w:p>
    <w:p w:rsidR="004B3545" w:rsidRPr="004B3545" w:rsidRDefault="004B3545" w:rsidP="004B3545">
      <w:pPr>
        <w:widowControl/>
        <w:wordWrap w:val="0"/>
        <w:snapToGrid w:val="0"/>
        <w:spacing w:line="360" w:lineRule="auto"/>
        <w:ind w:firstLineChars="200"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高端境外专家项目，资助旅费（经济舱</w:t>
      </w:r>
      <w:r w:rsidRPr="004B3545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/</w:t>
      </w:r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座</w:t>
      </w:r>
      <w:r w:rsidRPr="004B3545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/</w:t>
      </w:r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席）、住宿费、专家咨询费或专家工薪、其他费用。单个项目最高资助标准为</w:t>
      </w:r>
      <w:r w:rsidRPr="004B3545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30</w:t>
      </w:r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万元人民币。</w:t>
      </w:r>
    </w:p>
    <w:p w:rsidR="004B3545" w:rsidRPr="004B3545" w:rsidRDefault="004B3545" w:rsidP="004B3545">
      <w:pPr>
        <w:widowControl/>
        <w:wordWrap w:val="0"/>
        <w:snapToGrid w:val="0"/>
        <w:spacing w:line="360" w:lineRule="auto"/>
        <w:ind w:firstLineChars="200"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急需境外专家项目</w:t>
      </w:r>
      <w:r w:rsidRPr="004B3545">
        <w:rPr>
          <w:rFonts w:ascii="Times New Roman" w:eastAsia="仿宋_gb2312" w:hAnsi="Times New Roman" w:cs="Times New Roman" w:hint="eastAsia"/>
          <w:b/>
          <w:color w:val="000000"/>
          <w:kern w:val="0"/>
          <w:sz w:val="32"/>
          <w:szCs w:val="32"/>
        </w:rPr>
        <w:t>，</w:t>
      </w:r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资助旅费（经济舱</w:t>
      </w:r>
      <w:r w:rsidRPr="004B3545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/</w:t>
      </w:r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座</w:t>
      </w:r>
      <w:r w:rsidRPr="004B3545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/</w:t>
      </w:r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席）、住宿费、专家咨询费、其他费用</w:t>
      </w:r>
      <w:r w:rsidRPr="004B3545">
        <w:rPr>
          <w:rFonts w:ascii="Times New Roman" w:eastAsia="仿宋_gb2312" w:hAnsi="Times New Roman" w:cs="Times New Roman" w:hint="eastAsia"/>
          <w:b/>
          <w:color w:val="000000"/>
          <w:kern w:val="0"/>
          <w:sz w:val="32"/>
          <w:szCs w:val="32"/>
        </w:rPr>
        <w:t>。</w:t>
      </w:r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单个项目最高资助标准为</w:t>
      </w:r>
      <w:r w:rsidRPr="004B3545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15</w:t>
      </w:r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万元人民币。</w:t>
      </w:r>
    </w:p>
    <w:p w:rsidR="004B3545" w:rsidRPr="004B3545" w:rsidRDefault="004B3545" w:rsidP="004B3545">
      <w:pPr>
        <w:widowControl/>
        <w:wordWrap w:val="0"/>
        <w:snapToGrid w:val="0"/>
        <w:spacing w:line="360" w:lineRule="auto"/>
        <w:ind w:firstLineChars="200"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引智成果示范推广项目，资助旅费（经济舱</w:t>
      </w:r>
      <w:r w:rsidRPr="004B3545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/</w:t>
      </w:r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座</w:t>
      </w:r>
      <w:r w:rsidRPr="004B3545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/</w:t>
      </w:r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席）、住宿费、专家咨询费、其他费用，同时，还可资助国（境）外新技术、新品种的引进、试验转化、技术培训、成果展示、成果宣传推介等相关费用。单个项目最高资助标准为</w:t>
      </w:r>
      <w:r w:rsidRPr="004B3545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40</w:t>
      </w:r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万元人民币。</w:t>
      </w:r>
    </w:p>
    <w:p w:rsidR="004B3545" w:rsidRPr="004B3545" w:rsidRDefault="004B3545" w:rsidP="004B3545">
      <w:pPr>
        <w:widowControl/>
        <w:wordWrap w:val="0"/>
        <w:snapToGrid w:val="0"/>
        <w:spacing w:line="360" w:lineRule="auto"/>
        <w:ind w:firstLineChars="200"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B3545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 xml:space="preserve">第八条  </w:t>
      </w:r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专家咨询费或专家工薪的发放应符合国家有关税法规定，原则上应通过银行转账方式支付。</w:t>
      </w:r>
    </w:p>
    <w:p w:rsidR="004B3545" w:rsidRPr="004B3545" w:rsidRDefault="004B3545" w:rsidP="004B3545">
      <w:pPr>
        <w:widowControl/>
        <w:wordWrap w:val="0"/>
        <w:snapToGrid w:val="0"/>
        <w:spacing w:line="360" w:lineRule="auto"/>
        <w:ind w:firstLineChars="200"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B3545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 xml:space="preserve">第九条  </w:t>
      </w:r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项目单位因执行项目而发生的器材、试剂、办公用品等购置费用，以及工作人员的相关费用，不得在资助经费中列支。</w:t>
      </w:r>
    </w:p>
    <w:p w:rsidR="004B3545" w:rsidRPr="004B3545" w:rsidRDefault="004B3545" w:rsidP="004B3545">
      <w:pPr>
        <w:widowControl/>
        <w:wordWrap w:val="0"/>
        <w:snapToGrid w:val="0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B3545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</w:t>
      </w:r>
    </w:p>
    <w:p w:rsidR="004B3545" w:rsidRPr="004B3545" w:rsidRDefault="004B3545" w:rsidP="004B3545">
      <w:pPr>
        <w:widowControl/>
        <w:wordWrap w:val="0"/>
        <w:snapToGrid w:val="0"/>
        <w:spacing w:line="360" w:lineRule="auto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B3545">
        <w:rPr>
          <w:rFonts w:ascii="Times New Roman" w:eastAsia="黑体" w:hAnsi="黑体" w:cs="Times New Roman" w:hint="eastAsia"/>
          <w:color w:val="000000"/>
          <w:kern w:val="0"/>
          <w:sz w:val="32"/>
          <w:szCs w:val="32"/>
        </w:rPr>
        <w:t>第三章</w:t>
      </w:r>
      <w:r w:rsidRPr="004B3545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 xml:space="preserve">  </w:t>
      </w:r>
      <w:r w:rsidRPr="004B3545">
        <w:rPr>
          <w:rFonts w:ascii="Times New Roman" w:eastAsia="黑体" w:hAnsi="黑体" w:cs="Times New Roman" w:hint="eastAsia"/>
          <w:color w:val="000000"/>
          <w:kern w:val="0"/>
          <w:sz w:val="32"/>
          <w:szCs w:val="32"/>
        </w:rPr>
        <w:t>境外培训项目资助范围和标准</w:t>
      </w:r>
    </w:p>
    <w:p w:rsidR="004B3545" w:rsidRPr="004B3545" w:rsidRDefault="004B3545" w:rsidP="004B3545">
      <w:pPr>
        <w:widowControl/>
        <w:wordWrap w:val="0"/>
        <w:snapToGrid w:val="0"/>
        <w:spacing w:line="360" w:lineRule="auto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B3545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lastRenderedPageBreak/>
        <w:t xml:space="preserve"> </w:t>
      </w:r>
    </w:p>
    <w:p w:rsidR="004B3545" w:rsidRPr="004B3545" w:rsidRDefault="004B3545" w:rsidP="004B3545">
      <w:pPr>
        <w:widowControl/>
        <w:wordWrap w:val="0"/>
        <w:snapToGrid w:val="0"/>
        <w:spacing w:line="360" w:lineRule="auto"/>
        <w:ind w:firstLineChars="200"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B3545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 xml:space="preserve">第十条  </w:t>
      </w:r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境外培训项目按照培训时</w:t>
      </w:r>
      <w:proofErr w:type="gramStart"/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长分为</w:t>
      </w:r>
      <w:proofErr w:type="gramEnd"/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短期境外培训项目（</w:t>
      </w:r>
      <w:r w:rsidRPr="004B3545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90</w:t>
      </w:r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天以下）和中长期境外培训项目（</w:t>
      </w:r>
      <w:r w:rsidRPr="004B3545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90</w:t>
      </w:r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天及以上）。</w:t>
      </w:r>
    </w:p>
    <w:p w:rsidR="004B3545" w:rsidRPr="004B3545" w:rsidRDefault="004B3545" w:rsidP="004B3545">
      <w:pPr>
        <w:widowControl/>
        <w:wordWrap w:val="0"/>
        <w:snapToGrid w:val="0"/>
        <w:spacing w:line="360" w:lineRule="auto"/>
        <w:ind w:firstLineChars="200"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B3545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 xml:space="preserve">第十一条  </w:t>
      </w:r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短期境外培训项目经费资助范围包括：境外培训费、境外住宿费、境外伙食费、境外公杂费。</w:t>
      </w:r>
    </w:p>
    <w:p w:rsidR="004B3545" w:rsidRPr="004B3545" w:rsidRDefault="004B3545" w:rsidP="004B3545">
      <w:pPr>
        <w:widowControl/>
        <w:wordWrap w:val="0"/>
        <w:snapToGrid w:val="0"/>
        <w:spacing w:line="360" w:lineRule="auto"/>
        <w:ind w:firstLineChars="200"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境外培训费是指因公出国（境）人员用于授课、翻译、场租、资料、课程设计、对口业务考察或业务实践活动等在国（境）外培训所必须发生的费用。</w:t>
      </w:r>
    </w:p>
    <w:p w:rsidR="004B3545" w:rsidRPr="004B3545" w:rsidRDefault="004B3545" w:rsidP="004B3545">
      <w:pPr>
        <w:widowControl/>
        <w:wordWrap w:val="0"/>
        <w:snapToGrid w:val="0"/>
        <w:spacing w:line="360" w:lineRule="auto"/>
        <w:ind w:firstLine="63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境外住宿费是指因公出国（境）人员在国（境）外发生的住宿费用。</w:t>
      </w:r>
    </w:p>
    <w:p w:rsidR="004B3545" w:rsidRPr="004B3545" w:rsidRDefault="004B3545" w:rsidP="004B3545">
      <w:pPr>
        <w:widowControl/>
        <w:wordWrap w:val="0"/>
        <w:snapToGrid w:val="0"/>
        <w:spacing w:line="360" w:lineRule="auto"/>
        <w:ind w:firstLine="63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境外伙食费是指因公出国（境）人员在国（境）</w:t>
      </w:r>
      <w:proofErr w:type="gramStart"/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外期间</w:t>
      </w:r>
      <w:proofErr w:type="gramEnd"/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的日常伙食费用。</w:t>
      </w:r>
    </w:p>
    <w:p w:rsidR="004B3545" w:rsidRPr="004B3545" w:rsidRDefault="004B3545" w:rsidP="004B3545">
      <w:pPr>
        <w:widowControl/>
        <w:wordWrap w:val="0"/>
        <w:snapToGrid w:val="0"/>
        <w:spacing w:line="360" w:lineRule="auto"/>
        <w:ind w:firstLine="63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境外公杂费是指因公出国（境）人员在国（境）</w:t>
      </w:r>
      <w:proofErr w:type="gramStart"/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外期间</w:t>
      </w:r>
      <w:proofErr w:type="gramEnd"/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的市内交通、邮电、办公用品、必要的小费等费用。</w:t>
      </w:r>
    </w:p>
    <w:p w:rsidR="004B3545" w:rsidRPr="004B3545" w:rsidRDefault="004B3545" w:rsidP="004B3545">
      <w:pPr>
        <w:widowControl/>
        <w:wordWrap w:val="0"/>
        <w:snapToGrid w:val="0"/>
        <w:spacing w:line="360" w:lineRule="auto"/>
        <w:ind w:firstLineChars="200"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B3545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 xml:space="preserve">第十二条  </w:t>
      </w:r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短期境外培训项目实行分类资助。</w:t>
      </w:r>
    </w:p>
    <w:p w:rsidR="004B3545" w:rsidRPr="004B3545" w:rsidRDefault="004B3545" w:rsidP="004B3545">
      <w:pPr>
        <w:widowControl/>
        <w:wordWrap w:val="0"/>
        <w:snapToGrid w:val="0"/>
        <w:spacing w:line="360" w:lineRule="auto"/>
        <w:ind w:firstLineChars="200"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全额资助类项目，全额资助境外培训费、境外住宿费、境外伙食费、境外公杂费。</w:t>
      </w:r>
    </w:p>
    <w:p w:rsidR="004B3545" w:rsidRPr="004B3545" w:rsidRDefault="004B3545" w:rsidP="004B3545">
      <w:pPr>
        <w:widowControl/>
        <w:wordWrap w:val="0"/>
        <w:snapToGrid w:val="0"/>
        <w:spacing w:line="360" w:lineRule="auto"/>
        <w:ind w:firstLineChars="200"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部分资助类项目，全额资助境外培训费、境外伙食费。</w:t>
      </w:r>
    </w:p>
    <w:p w:rsidR="004B3545" w:rsidRPr="004B3545" w:rsidRDefault="004B3545" w:rsidP="004B3545">
      <w:pPr>
        <w:widowControl/>
        <w:wordWrap w:val="0"/>
        <w:snapToGrid w:val="0"/>
        <w:spacing w:line="360" w:lineRule="auto"/>
        <w:ind w:firstLineChars="200"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单项资助类项目，全额资助境外培训费。</w:t>
      </w:r>
    </w:p>
    <w:p w:rsidR="004B3545" w:rsidRPr="004B3545" w:rsidRDefault="004B3545" w:rsidP="004B3545">
      <w:pPr>
        <w:widowControl/>
        <w:wordWrap w:val="0"/>
        <w:snapToGrid w:val="0"/>
        <w:spacing w:line="360" w:lineRule="auto"/>
        <w:ind w:firstLineChars="200"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B3545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lastRenderedPageBreak/>
        <w:t xml:space="preserve">第十三条 </w:t>
      </w:r>
      <w:r w:rsidRPr="004B3545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</w:t>
      </w:r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中长期境外培训项目经费资助范围为境外生活费，包括因公出国（境）人员在国（境）</w:t>
      </w:r>
      <w:proofErr w:type="gramStart"/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外期间</w:t>
      </w:r>
      <w:proofErr w:type="gramEnd"/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的伙食费、住宿费等费用。</w:t>
      </w:r>
    </w:p>
    <w:p w:rsidR="004B3545" w:rsidRPr="004B3545" w:rsidRDefault="004B3545" w:rsidP="004B3545">
      <w:pPr>
        <w:widowControl/>
        <w:wordWrap w:val="0"/>
        <w:snapToGrid w:val="0"/>
        <w:spacing w:line="360" w:lineRule="auto"/>
        <w:ind w:firstLineChars="200"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B3545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 xml:space="preserve">第十四条  </w:t>
      </w:r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中长期境外培训项目实行分类资助。</w:t>
      </w:r>
    </w:p>
    <w:p w:rsidR="004B3545" w:rsidRPr="004B3545" w:rsidRDefault="004B3545" w:rsidP="004B3545">
      <w:pPr>
        <w:widowControl/>
        <w:wordWrap w:val="0"/>
        <w:snapToGrid w:val="0"/>
        <w:spacing w:line="360" w:lineRule="auto"/>
        <w:ind w:firstLineChars="200"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全额资助类项目，资助全额境外生活费。</w:t>
      </w:r>
    </w:p>
    <w:p w:rsidR="004B3545" w:rsidRPr="004B3545" w:rsidRDefault="004B3545" w:rsidP="004B3545">
      <w:pPr>
        <w:widowControl/>
        <w:wordWrap w:val="0"/>
        <w:snapToGrid w:val="0"/>
        <w:spacing w:line="360" w:lineRule="auto"/>
        <w:ind w:firstLineChars="200"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部分资助类项目，资助境外生活费的</w:t>
      </w:r>
      <w:r w:rsidRPr="004B3545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50</w:t>
      </w:r>
      <w:r w:rsidRPr="004B3545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%</w:t>
      </w:r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。</w:t>
      </w:r>
    </w:p>
    <w:p w:rsidR="004B3545" w:rsidRPr="004B3545" w:rsidRDefault="004B3545" w:rsidP="004B3545">
      <w:pPr>
        <w:widowControl/>
        <w:wordWrap w:val="0"/>
        <w:snapToGrid w:val="0"/>
        <w:spacing w:line="360" w:lineRule="auto"/>
        <w:ind w:firstLineChars="200"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B3545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 xml:space="preserve">第十五条  </w:t>
      </w:r>
      <w:r w:rsidRPr="004B3545">
        <w:rPr>
          <w:rFonts w:ascii="仿宋_gb2312" w:eastAsia="仿宋_gb2312" w:hAnsi="黑体" w:cs="Times New Roman" w:hint="eastAsia"/>
          <w:color w:val="000000"/>
          <w:kern w:val="0"/>
          <w:sz w:val="32"/>
          <w:szCs w:val="32"/>
        </w:rPr>
        <w:t>市外专局</w:t>
      </w:r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根据境外培训项目重要程度，确定资助与否和具体资助标准。对针对性强、技术含量高和实际效果突出的专业技术类项目，给予重点资助。</w:t>
      </w:r>
    </w:p>
    <w:p w:rsidR="004B3545" w:rsidRPr="004B3545" w:rsidRDefault="004B3545" w:rsidP="004B3545">
      <w:pPr>
        <w:widowControl/>
        <w:wordWrap w:val="0"/>
        <w:snapToGrid w:val="0"/>
        <w:spacing w:line="360" w:lineRule="auto"/>
        <w:ind w:firstLineChars="200"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B3545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 xml:space="preserve">第十六条  </w:t>
      </w:r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由国（境）外方提供经费资助的，或已获其他部门专项经费资助的境外培训项目，原则上不再予以重复资助。</w:t>
      </w:r>
    </w:p>
    <w:p w:rsidR="004B3545" w:rsidRPr="004B3545" w:rsidRDefault="004B3545" w:rsidP="004B3545">
      <w:pPr>
        <w:widowControl/>
        <w:wordWrap w:val="0"/>
        <w:snapToGrid w:val="0"/>
        <w:spacing w:line="360" w:lineRule="auto"/>
        <w:ind w:firstLineChars="200"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B3545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 xml:space="preserve">第十七条  </w:t>
      </w:r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境外培训项目资助经费涉及的外汇结算汇率，以项目执行首日（如遇公休日，按前一工作日计）国家外汇管理局公布的人民币汇率中间价为准。</w:t>
      </w:r>
    </w:p>
    <w:p w:rsidR="004B3545" w:rsidRPr="004B3545" w:rsidRDefault="004B3545" w:rsidP="004B3545">
      <w:pPr>
        <w:widowControl/>
        <w:wordWrap w:val="0"/>
        <w:snapToGrid w:val="0"/>
        <w:spacing w:line="360" w:lineRule="auto"/>
        <w:ind w:firstLineChars="200"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B3545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 xml:space="preserve">第十八条  </w:t>
      </w:r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境外培训项目经费资助标准，参照国家有关境外费用开支规定执行。</w:t>
      </w:r>
    </w:p>
    <w:p w:rsidR="004B3545" w:rsidRPr="004B3545" w:rsidRDefault="004B3545" w:rsidP="004B3545">
      <w:pPr>
        <w:widowControl/>
        <w:wordWrap w:val="0"/>
        <w:snapToGrid w:val="0"/>
        <w:spacing w:line="360" w:lineRule="auto"/>
        <w:ind w:firstLineChars="200"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B3545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 xml:space="preserve">第十九条  </w:t>
      </w:r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境外培训项目的经费资助应按照资助类别，直接用于每位因公出国（境）培训人员的相应费用，不得挪作他用。</w:t>
      </w:r>
    </w:p>
    <w:p w:rsidR="004B3545" w:rsidRPr="004B3545" w:rsidRDefault="004B3545" w:rsidP="004B3545">
      <w:pPr>
        <w:widowControl/>
        <w:wordWrap w:val="0"/>
        <w:snapToGrid w:val="0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B3545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</w:t>
      </w:r>
    </w:p>
    <w:p w:rsidR="004B3545" w:rsidRPr="004B3545" w:rsidRDefault="004B3545" w:rsidP="004B3545">
      <w:pPr>
        <w:widowControl/>
        <w:wordWrap w:val="0"/>
        <w:snapToGrid w:val="0"/>
        <w:spacing w:line="360" w:lineRule="auto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B3545">
        <w:rPr>
          <w:rFonts w:ascii="Times New Roman" w:eastAsia="黑体" w:hAnsi="黑体" w:cs="Times New Roman" w:hint="eastAsia"/>
          <w:color w:val="000000"/>
          <w:kern w:val="0"/>
          <w:sz w:val="32"/>
          <w:szCs w:val="32"/>
        </w:rPr>
        <w:t>第四章</w:t>
      </w:r>
      <w:r w:rsidRPr="004B3545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 xml:space="preserve">  </w:t>
      </w:r>
      <w:r w:rsidRPr="004B3545">
        <w:rPr>
          <w:rFonts w:ascii="Times New Roman" w:eastAsia="黑体" w:hAnsi="黑体" w:cs="Times New Roman" w:hint="eastAsia"/>
          <w:color w:val="000000"/>
          <w:kern w:val="0"/>
          <w:sz w:val="32"/>
          <w:szCs w:val="32"/>
        </w:rPr>
        <w:t>预算编制与执行管理</w:t>
      </w:r>
    </w:p>
    <w:p w:rsidR="004B3545" w:rsidRPr="004B3545" w:rsidRDefault="004B3545" w:rsidP="004B3545">
      <w:pPr>
        <w:widowControl/>
        <w:wordWrap w:val="0"/>
        <w:snapToGrid w:val="0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B3545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 xml:space="preserve"> </w:t>
      </w:r>
    </w:p>
    <w:p w:rsidR="004B3545" w:rsidRPr="004B3545" w:rsidRDefault="004B3545" w:rsidP="004B3545">
      <w:pPr>
        <w:widowControl/>
        <w:wordWrap w:val="0"/>
        <w:snapToGrid w:val="0"/>
        <w:spacing w:line="360" w:lineRule="auto"/>
        <w:ind w:firstLineChars="200"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B3545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lastRenderedPageBreak/>
        <w:t xml:space="preserve">第二十条  </w:t>
      </w:r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市外专局根据国家外专局要求，以及本市国民经济和社会发展需要，一般于每年</w:t>
      </w:r>
      <w:r w:rsidRPr="004B3545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9</w:t>
      </w:r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月份组织开展下一年度引智项目申报工作，按照规定的程序和标准编制、下达年度引智资金资助计划。</w:t>
      </w:r>
    </w:p>
    <w:p w:rsidR="004B3545" w:rsidRPr="004B3545" w:rsidRDefault="004B3545" w:rsidP="004B3545">
      <w:pPr>
        <w:widowControl/>
        <w:wordWrap w:val="0"/>
        <w:snapToGrid w:val="0"/>
        <w:spacing w:line="360" w:lineRule="auto"/>
        <w:ind w:firstLineChars="200"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B3545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 xml:space="preserve">第二十一条  </w:t>
      </w:r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引智资金纳入市人力社保局部门预算。市人力社保局、市外专局负责办理资金划拨、核销手续。</w:t>
      </w:r>
    </w:p>
    <w:p w:rsidR="004B3545" w:rsidRPr="004B3545" w:rsidRDefault="004B3545" w:rsidP="004B3545">
      <w:pPr>
        <w:widowControl/>
        <w:wordWrap w:val="0"/>
        <w:snapToGrid w:val="0"/>
        <w:spacing w:line="360" w:lineRule="auto"/>
        <w:ind w:firstLineChars="200"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B3545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 xml:space="preserve">第二十二条  </w:t>
      </w:r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引智项目执行过程中，项目单位按照市外专局下达的引智资金资助计划，先行垫付所需资金。</w:t>
      </w:r>
    </w:p>
    <w:p w:rsidR="004B3545" w:rsidRPr="004B3545" w:rsidRDefault="004B3545" w:rsidP="004B3545">
      <w:pPr>
        <w:widowControl/>
        <w:wordWrap w:val="0"/>
        <w:snapToGrid w:val="0"/>
        <w:spacing w:line="360" w:lineRule="auto"/>
        <w:ind w:firstLineChars="200"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B3545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 xml:space="preserve">第二十三条  </w:t>
      </w:r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市外专局根据工作需要，可于每年</w:t>
      </w:r>
      <w:proofErr w:type="gramStart"/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年</w:t>
      </w:r>
      <w:proofErr w:type="gramEnd"/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中组织开展年度引智项目计划中期调整。以下情况可列入调整范围：</w:t>
      </w:r>
    </w:p>
    <w:p w:rsidR="004B3545" w:rsidRPr="004B3545" w:rsidRDefault="004B3545" w:rsidP="004B3545">
      <w:pPr>
        <w:widowControl/>
        <w:wordWrap w:val="0"/>
        <w:snapToGrid w:val="0"/>
        <w:spacing w:line="360" w:lineRule="auto"/>
        <w:ind w:firstLineChars="200"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（一）因落实国家和我市重点任务，需要增加引智项目的；</w:t>
      </w:r>
    </w:p>
    <w:p w:rsidR="004B3545" w:rsidRPr="004B3545" w:rsidRDefault="004B3545" w:rsidP="004B3545">
      <w:pPr>
        <w:widowControl/>
        <w:wordWrap w:val="0"/>
        <w:snapToGrid w:val="0"/>
        <w:spacing w:line="360" w:lineRule="auto"/>
        <w:ind w:firstLineChars="200"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（二）因项目单位或境外特殊情况，导致项目无法执行或项目实施的条件发生变化，需要调剂项目经费的；</w:t>
      </w:r>
    </w:p>
    <w:p w:rsidR="004B3545" w:rsidRPr="004B3545" w:rsidRDefault="004B3545" w:rsidP="004B3545">
      <w:pPr>
        <w:widowControl/>
        <w:wordWrap w:val="0"/>
        <w:snapToGrid w:val="0"/>
        <w:spacing w:line="360" w:lineRule="auto"/>
        <w:ind w:firstLineChars="200"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（三）其他需要调整项目经费的情形。</w:t>
      </w:r>
    </w:p>
    <w:p w:rsidR="004B3545" w:rsidRPr="004B3545" w:rsidRDefault="004B3545" w:rsidP="004B3545">
      <w:pPr>
        <w:widowControl/>
        <w:wordWrap w:val="0"/>
        <w:snapToGrid w:val="0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B3545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 xml:space="preserve"> </w:t>
      </w:r>
    </w:p>
    <w:p w:rsidR="004B3545" w:rsidRPr="004B3545" w:rsidRDefault="004B3545" w:rsidP="004B3545">
      <w:pPr>
        <w:widowControl/>
        <w:wordWrap w:val="0"/>
        <w:snapToGrid w:val="0"/>
        <w:spacing w:line="360" w:lineRule="auto"/>
        <w:ind w:firstLineChars="200"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B3545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 xml:space="preserve">第二十四条  </w:t>
      </w:r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引智项目完成后，项目单位应在一个月内及时组织项目评估和验收，并向市外专局报送核销材料。</w:t>
      </w:r>
    </w:p>
    <w:p w:rsidR="004B3545" w:rsidRPr="004B3545" w:rsidRDefault="004B3545" w:rsidP="004B3545">
      <w:pPr>
        <w:widowControl/>
        <w:wordWrap w:val="0"/>
        <w:snapToGrid w:val="0"/>
        <w:spacing w:line="360" w:lineRule="auto"/>
        <w:ind w:firstLineChars="200"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境外专家项目核销材料包括：《天津市引进国（境）外专家项目资助经费决算申报表》、国（境）外</w:t>
      </w:r>
      <w:proofErr w:type="gramStart"/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专家护照</w:t>
      </w:r>
      <w:proofErr w:type="gramEnd"/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个人信息页和盖有我边检</w:t>
      </w:r>
      <w:proofErr w:type="gramStart"/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出入境章页复印件</w:t>
      </w:r>
      <w:proofErr w:type="gramEnd"/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，以及相关票</w:t>
      </w:r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lastRenderedPageBreak/>
        <w:t>据复印件等。相关票据包括旅费、住宿费、专家咨询费和其他费用的有效支付凭证；申请核销工薪的，还应提供工作合同（协议）复印件及有效支付凭证；引智成果示范推广项目，还应提交支付新技术（品种）引进、试验转化、技术培训、成果展示、成果宣传推介等费用的有效支付凭证。</w:t>
      </w:r>
    </w:p>
    <w:p w:rsidR="004B3545" w:rsidRPr="004B3545" w:rsidRDefault="004B3545" w:rsidP="004B3545">
      <w:pPr>
        <w:widowControl/>
        <w:wordWrap w:val="0"/>
        <w:snapToGrid w:val="0"/>
        <w:spacing w:line="360" w:lineRule="auto"/>
        <w:ind w:firstLineChars="200"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境外培训项目核销材料包括：《天津市因公出国（境）培训资助经费决算申报表》；《出国、赴港澳任务批件》复印件；团组回国后相关公示情况说明函；所有出国（境）培训人员护照原件，护照信息页、签证页及盖有到访国及我边检</w:t>
      </w:r>
      <w:proofErr w:type="gramStart"/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出入境章页复印件</w:t>
      </w:r>
      <w:proofErr w:type="gramEnd"/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；在机票定点采购销售商购买机票的票据复印件；购买保险的票据复印件。</w:t>
      </w:r>
    </w:p>
    <w:p w:rsidR="004B3545" w:rsidRPr="004B3545" w:rsidRDefault="004B3545" w:rsidP="004B3545">
      <w:pPr>
        <w:widowControl/>
        <w:wordWrap w:val="0"/>
        <w:snapToGrid w:val="0"/>
        <w:spacing w:line="360" w:lineRule="auto"/>
        <w:ind w:firstLineChars="200"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B3545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 xml:space="preserve">第二十五条  </w:t>
      </w:r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引智项目完成后，市外专局或市外专局委托的第三方机构，对项目执行情况进行审查，审查合格的划拨引智资金。对引智项目执行效果不佳的，可视情况核减或取消资助。</w:t>
      </w:r>
    </w:p>
    <w:p w:rsidR="004B3545" w:rsidRPr="004B3545" w:rsidRDefault="004B3545" w:rsidP="004B3545">
      <w:pPr>
        <w:widowControl/>
        <w:wordWrap w:val="0"/>
        <w:snapToGrid w:val="0"/>
        <w:spacing w:line="360" w:lineRule="auto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B3545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</w:t>
      </w:r>
    </w:p>
    <w:p w:rsidR="004B3545" w:rsidRPr="004B3545" w:rsidRDefault="004B3545" w:rsidP="004B3545">
      <w:pPr>
        <w:widowControl/>
        <w:wordWrap w:val="0"/>
        <w:snapToGrid w:val="0"/>
        <w:spacing w:line="360" w:lineRule="auto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B3545">
        <w:rPr>
          <w:rFonts w:ascii="Times New Roman" w:eastAsia="黑体" w:hAnsi="黑体" w:cs="Times New Roman" w:hint="eastAsia"/>
          <w:color w:val="000000"/>
          <w:kern w:val="0"/>
          <w:sz w:val="32"/>
          <w:szCs w:val="32"/>
        </w:rPr>
        <w:t>第五章</w:t>
      </w:r>
      <w:r w:rsidRPr="004B3545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 xml:space="preserve">  </w:t>
      </w:r>
      <w:r w:rsidRPr="004B3545">
        <w:rPr>
          <w:rFonts w:ascii="Times New Roman" w:eastAsia="黑体" w:hAnsi="黑体" w:cs="Times New Roman" w:hint="eastAsia"/>
          <w:color w:val="000000"/>
          <w:kern w:val="0"/>
          <w:sz w:val="32"/>
          <w:szCs w:val="32"/>
        </w:rPr>
        <w:t>监督与检查</w:t>
      </w:r>
    </w:p>
    <w:p w:rsidR="004B3545" w:rsidRPr="004B3545" w:rsidRDefault="004B3545" w:rsidP="004B3545">
      <w:pPr>
        <w:widowControl/>
        <w:wordWrap w:val="0"/>
        <w:snapToGrid w:val="0"/>
        <w:spacing w:line="360" w:lineRule="auto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B3545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 xml:space="preserve"> </w:t>
      </w:r>
    </w:p>
    <w:p w:rsidR="004B3545" w:rsidRPr="004B3545" w:rsidRDefault="004B3545" w:rsidP="004B3545">
      <w:pPr>
        <w:widowControl/>
        <w:wordWrap w:val="0"/>
        <w:snapToGrid w:val="0"/>
        <w:spacing w:line="360" w:lineRule="auto"/>
        <w:ind w:firstLineChars="200"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B3545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 xml:space="preserve">第二十六条  </w:t>
      </w:r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引智项目单位应严格按照规定使用引智资金，不得擅自改变资金性质和用途。引智项目执行中超出预算的，超出部分由引智项目单位自行承担。</w:t>
      </w:r>
    </w:p>
    <w:p w:rsidR="004B3545" w:rsidRPr="004B3545" w:rsidRDefault="004B3545" w:rsidP="004B3545">
      <w:pPr>
        <w:widowControl/>
        <w:wordWrap w:val="0"/>
        <w:snapToGrid w:val="0"/>
        <w:spacing w:line="360" w:lineRule="auto"/>
        <w:ind w:firstLineChars="200"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B3545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lastRenderedPageBreak/>
        <w:t xml:space="preserve">第二十七条  </w:t>
      </w:r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引智项目单位应将引智资金纳入本单位财务统一管理，单独核算，专款专用，并加强财务监督与检查，实行绩效考核和追踪问效，提高资金使用的安全性、规范性和有效性。</w:t>
      </w:r>
    </w:p>
    <w:p w:rsidR="004B3545" w:rsidRPr="004B3545" w:rsidRDefault="004B3545" w:rsidP="004B3545">
      <w:pPr>
        <w:widowControl/>
        <w:wordWrap w:val="0"/>
        <w:snapToGrid w:val="0"/>
        <w:spacing w:line="360" w:lineRule="auto"/>
        <w:ind w:firstLineChars="200"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B3545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 xml:space="preserve">第二十八条  </w:t>
      </w:r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市外专局对项目单位引智资金使用情况进行监督检查，并对重点单位、重点项目组织专项审计。发现违规、违纪问题的，一经查实，收回资助经费并予以通报，情节严重的，中止项目单位申报引智项目资格。</w:t>
      </w:r>
    </w:p>
    <w:p w:rsidR="004B3545" w:rsidRPr="004B3545" w:rsidRDefault="004B3545" w:rsidP="004B3545">
      <w:pPr>
        <w:widowControl/>
        <w:wordWrap w:val="0"/>
        <w:snapToGrid w:val="0"/>
        <w:spacing w:line="360" w:lineRule="auto"/>
        <w:ind w:firstLineChars="200"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B3545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 xml:space="preserve">第二十九条  </w:t>
      </w:r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市外专局委托第三方机构开展项目审查、专项审计所需费用，可在引智专项资金中列支。</w:t>
      </w:r>
    </w:p>
    <w:p w:rsidR="004B3545" w:rsidRPr="004B3545" w:rsidRDefault="004B3545" w:rsidP="004B3545">
      <w:pPr>
        <w:widowControl/>
        <w:wordWrap w:val="0"/>
        <w:snapToGrid w:val="0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B3545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</w:t>
      </w:r>
    </w:p>
    <w:p w:rsidR="004B3545" w:rsidRPr="004B3545" w:rsidRDefault="004B3545" w:rsidP="004B3545">
      <w:pPr>
        <w:widowControl/>
        <w:wordWrap w:val="0"/>
        <w:snapToGrid w:val="0"/>
        <w:spacing w:line="360" w:lineRule="auto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B3545">
        <w:rPr>
          <w:rFonts w:ascii="Times New Roman" w:eastAsia="黑体" w:hAnsi="黑体" w:cs="Times New Roman" w:hint="eastAsia"/>
          <w:color w:val="000000"/>
          <w:kern w:val="0"/>
          <w:sz w:val="32"/>
          <w:szCs w:val="32"/>
        </w:rPr>
        <w:t>第六章</w:t>
      </w:r>
      <w:r w:rsidRPr="004B3545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 xml:space="preserve">  </w:t>
      </w:r>
      <w:r w:rsidRPr="004B3545">
        <w:rPr>
          <w:rFonts w:ascii="Times New Roman" w:eastAsia="黑体" w:hAnsi="黑体" w:cs="Times New Roman" w:hint="eastAsia"/>
          <w:color w:val="000000"/>
          <w:kern w:val="0"/>
          <w:sz w:val="32"/>
          <w:szCs w:val="32"/>
        </w:rPr>
        <w:t>附</w:t>
      </w:r>
      <w:r w:rsidRPr="004B3545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 xml:space="preserve">  </w:t>
      </w:r>
      <w:r w:rsidRPr="004B3545">
        <w:rPr>
          <w:rFonts w:ascii="Times New Roman" w:eastAsia="黑体" w:hAnsi="黑体" w:cs="Times New Roman" w:hint="eastAsia"/>
          <w:color w:val="000000"/>
          <w:kern w:val="0"/>
          <w:sz w:val="32"/>
          <w:szCs w:val="32"/>
        </w:rPr>
        <w:t>则</w:t>
      </w:r>
    </w:p>
    <w:p w:rsidR="004B3545" w:rsidRPr="004B3545" w:rsidRDefault="004B3545" w:rsidP="004B3545">
      <w:pPr>
        <w:widowControl/>
        <w:wordWrap w:val="0"/>
        <w:snapToGrid w:val="0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B3545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 xml:space="preserve"> </w:t>
      </w:r>
    </w:p>
    <w:p w:rsidR="004B3545" w:rsidRPr="004B3545" w:rsidRDefault="004B3545" w:rsidP="004B3545">
      <w:pPr>
        <w:widowControl/>
        <w:wordWrap w:val="0"/>
        <w:snapToGrid w:val="0"/>
        <w:spacing w:line="360" w:lineRule="auto"/>
        <w:ind w:firstLineChars="200"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B3545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 xml:space="preserve">第三十条  </w:t>
      </w:r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本办法由市外专局负责解释。</w:t>
      </w:r>
    </w:p>
    <w:p w:rsidR="00195A9A" w:rsidRDefault="004B3545" w:rsidP="004B3545">
      <w:r w:rsidRPr="004B3545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 xml:space="preserve">第三十一条  </w:t>
      </w:r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本办法有效期</w:t>
      </w:r>
      <w:r w:rsidRPr="004B3545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5</w:t>
      </w:r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年，自</w:t>
      </w:r>
      <w:r w:rsidRPr="004B3545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2018</w:t>
      </w:r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年</w:t>
      </w:r>
      <w:r w:rsidRPr="004B3545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4</w:t>
      </w:r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月</w:t>
      </w:r>
      <w:r w:rsidRPr="004B3545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</w:t>
      </w:r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日起施行，</w:t>
      </w:r>
      <w:r w:rsidRPr="004B3545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2023</w:t>
      </w:r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年</w:t>
      </w:r>
      <w:r w:rsidRPr="004B3545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3</w:t>
      </w:r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月</w:t>
      </w:r>
      <w:r w:rsidRPr="004B3545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31</w:t>
      </w:r>
      <w:r w:rsidRPr="004B354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日失效。</w:t>
      </w:r>
    </w:p>
    <w:sectPr w:rsidR="00195A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545"/>
    <w:rsid w:val="00195A9A"/>
    <w:rsid w:val="004B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67C841-71C8-4C64-A494-69084612E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7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5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554</Words>
  <Characters>3161</Characters>
  <Application>Microsoft Office Word</Application>
  <DocSecurity>0</DocSecurity>
  <Lines>26</Lines>
  <Paragraphs>7</Paragraphs>
  <ScaleCrop>false</ScaleCrop>
  <Company/>
  <LinksUpToDate>false</LinksUpToDate>
  <CharactersWithSpaces>3708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1</cp:revision>
  <dcterms:created xsi:type="dcterms:W3CDTF">2018-05-18T02:30:00Z</dcterms:created>
  <dcterms:modified xsi:type="dcterms:W3CDTF">2018-05-18T02:30:00Z</dcterms:modified>
</cp:coreProperties>
</file>