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5D" w:rsidRPr="00391E07" w:rsidRDefault="008F5D30">
      <w:pPr>
        <w:spacing w:line="520" w:lineRule="exact"/>
        <w:jc w:val="center"/>
        <w:rPr>
          <w:rFonts w:asciiTheme="minorEastAsia" w:hAnsiTheme="minorEastAsia" w:cs="黑体"/>
          <w:color w:val="000000"/>
          <w:sz w:val="30"/>
          <w:szCs w:val="30"/>
          <w:shd w:val="clear" w:color="auto" w:fill="FFFFFF"/>
        </w:rPr>
      </w:pPr>
      <w:r w:rsidRPr="00391E07">
        <w:rPr>
          <w:rFonts w:asciiTheme="minorEastAsia" w:hAnsiTheme="minorEastAsia" w:cs="黑体" w:hint="eastAsia"/>
          <w:color w:val="000000"/>
          <w:sz w:val="30"/>
          <w:szCs w:val="30"/>
          <w:shd w:val="clear" w:color="auto" w:fill="FFFFFF"/>
        </w:rPr>
        <w:t>中共淄博市委 淄博市人民政府</w:t>
      </w:r>
    </w:p>
    <w:p w:rsidR="00C5175D" w:rsidRPr="00391E07" w:rsidRDefault="008F5D30">
      <w:pPr>
        <w:spacing w:line="520" w:lineRule="exact"/>
        <w:jc w:val="center"/>
        <w:rPr>
          <w:rFonts w:asciiTheme="minorEastAsia" w:hAnsiTheme="minorEastAsia" w:cs="黑体"/>
          <w:color w:val="000000"/>
          <w:sz w:val="30"/>
          <w:szCs w:val="30"/>
          <w:shd w:val="clear" w:color="auto" w:fill="FFFFFF"/>
        </w:rPr>
      </w:pPr>
      <w:bookmarkStart w:id="0" w:name="_GoBack"/>
      <w:r w:rsidRPr="00391E07">
        <w:rPr>
          <w:rFonts w:asciiTheme="minorEastAsia" w:hAnsiTheme="minorEastAsia" w:cs="黑体" w:hint="eastAsia"/>
          <w:color w:val="000000"/>
          <w:sz w:val="30"/>
          <w:szCs w:val="30"/>
          <w:shd w:val="clear" w:color="auto" w:fill="FFFFFF"/>
        </w:rPr>
        <w:t>《关于深化</w:t>
      </w:r>
      <w:hyperlink r:id="rId7" w:tgtFrame="http://www.010lm.com/redian/2016/1202/_blank" w:history="1">
        <w:r w:rsidRPr="00391E07">
          <w:rPr>
            <w:rStyle w:val="a4"/>
            <w:rFonts w:asciiTheme="minorEastAsia" w:hAnsiTheme="minorEastAsia" w:cs="黑体" w:hint="eastAsia"/>
            <w:color w:val="000000"/>
            <w:sz w:val="30"/>
            <w:szCs w:val="30"/>
            <w:u w:val="none"/>
            <w:shd w:val="clear" w:color="auto" w:fill="FFFFFF"/>
          </w:rPr>
          <w:t>科技</w:t>
        </w:r>
      </w:hyperlink>
      <w:r w:rsidRPr="00391E07">
        <w:rPr>
          <w:rFonts w:asciiTheme="minorEastAsia" w:hAnsiTheme="minorEastAsia" w:cs="黑体" w:hint="eastAsia"/>
          <w:color w:val="000000"/>
          <w:sz w:val="30"/>
          <w:szCs w:val="30"/>
          <w:shd w:val="clear" w:color="auto" w:fill="FFFFFF"/>
        </w:rPr>
        <w:t>体制改革加快创新发展的实施意见》</w:t>
      </w:r>
    </w:p>
    <w:bookmarkEnd w:id="0"/>
    <w:p w:rsidR="00C5175D" w:rsidRPr="00391E07" w:rsidRDefault="008F5D30">
      <w:pPr>
        <w:pStyle w:val="a3"/>
        <w:widowControl/>
        <w:shd w:val="clear" w:color="auto" w:fill="FFFFFF"/>
        <w:spacing w:beforeAutospacing="0" w:afterAutospacing="0" w:line="520" w:lineRule="exact"/>
        <w:jc w:val="center"/>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淄发[2016]23号</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xml:space="preserve">    （2016年9月14日中国共产党淄博市第十一届委员会第十三次全体会议通过）</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为深入贯彻党中央、国务院和省委、省政府关于深化科技体制改革、加快创新发展的系列决策部署，现结合我市实际，提出如下实施意见。</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 一、总体要求</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一）指导思想。以党的十八大及十八届三中、四中、五中全会精神、习近平总书记系列重要讲话精神和省委十届十四次全会精神为指引，坚持创新、协调、绿色、开放、共享发展理念，以制度创新促进科技创新，进一步增强科技创新在供给侧结构性改革中的基础、关键和引领作用，健全知识创新、技术创新和管理创新体系，激发全</w:t>
      </w:r>
      <w:hyperlink r:id="rId8" w:tgtFrame="http://www.010lm.com/redian/2016/1202/_blank" w:history="1">
        <w:r w:rsidRPr="00391E07">
          <w:rPr>
            <w:rStyle w:val="a4"/>
            <w:rFonts w:asciiTheme="minorEastAsia" w:hAnsiTheme="minorEastAsia" w:cs="仿宋_GB2312" w:hint="eastAsia"/>
            <w:color w:val="000000"/>
            <w:sz w:val="30"/>
            <w:szCs w:val="30"/>
            <w:shd w:val="clear" w:color="auto" w:fill="FFFFFF"/>
          </w:rPr>
          <w:t>社会</w:t>
        </w:r>
      </w:hyperlink>
      <w:r w:rsidRPr="00391E07">
        <w:rPr>
          <w:rFonts w:asciiTheme="minorEastAsia" w:hAnsiTheme="minorEastAsia" w:cs="仿宋_GB2312" w:hint="eastAsia"/>
          <w:color w:val="000000"/>
          <w:sz w:val="30"/>
          <w:szCs w:val="30"/>
          <w:shd w:val="clear" w:color="auto" w:fill="FFFFFF"/>
        </w:rPr>
        <w:t>创新潜能，为我市在全面建成小康社会进程中走在前列提供有力支撑。</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主要目标。到2020年，全社会研发经费投入占生产总值比重达到2.7%，科技进步对经济增长的贡献率达到60%左右，实现高新技术企业数量、产业产值翻一番，50%以上的规模以上工业企业设立研发机构并有实际研发投入，国家级科技企业孵化器和国家级众创空间达到20家以上，全市年发明专利授权量达到2000件。科技支撑创新发展能力显著增强，创新型城市建设走在前列。</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二、构建支持创新的科技管理新机制</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三）创新科研项目管理机制。深化科技管理部门改革，有效发挥科技管理部门在抓战略、抓规划、抓政策、抓服务方面的作用。逐步实现由现有的政府部门管理具体项目，向委托有资质的中介机构承担项目管理工作转变。建设高水平科技智库，加强科技决策咨询系统，建立由技术专家、企业家、科研人员和政府部门等共同参与的科技决策及论证机制，</w:t>
      </w:r>
      <w:r w:rsidRPr="00391E07">
        <w:rPr>
          <w:rFonts w:asciiTheme="minorEastAsia" w:hAnsiTheme="minorEastAsia" w:cs="仿宋_GB2312" w:hint="eastAsia"/>
          <w:color w:val="000000"/>
          <w:sz w:val="30"/>
          <w:szCs w:val="30"/>
          <w:shd w:val="clear" w:color="auto" w:fill="FFFFFF"/>
        </w:rPr>
        <w:lastRenderedPageBreak/>
        <w:t>提升重大科技决策的科学性。将市级科研项目全部纳入科技管理信息系统监管，避免重复申报和重复资助。改进和完善科技评价体系。</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四）发挥财政支持科技创新的重要作用。市级财政科技资金按照应用与研发、创新发展重点项目、人才建设、产学研合作、产业引导基金、校城融合发展分类执行。充分发挥市级财政资金的杠杆作用，综合运用股权投资、风险补偿、贷款贴息、政府和社会资本合作（PPP）等方式，支持市场导向明确的技术创新活动。完善激励与约束相结合的科研资金管理制度。</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三、强化企业技术创新主体地位</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五）大力培育创新型企业。对接国家“创新百强”工程、制造业单项冠军培育提升工程和市工业骨干企业、创新型高成长企业“双50强”工程，选择一批骨干企业进行试点，培育成为创新龙头企业。实施高新技术企业培育计划，省财政给予首次通过高新技术企业认定的中小微企业10万元补助，市财政再给予10万元补助。</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六）鼓励企业加大研发投入。引导企业建立研发准备金制度，研发投入占销售收入比例达到3%以上的大型企业，在省按照研发投入新增部分的10%给予后补助的基础上，市财政资金再给予5%的后补助，研发投入占销售收入比例达到5%以上的中小微企业，在省按照研发投入10%的比例给予后补助的基础上，市财政资金再给予5%的后补助，市级补助经费最高500万元。</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七）支持企业建设高水平研发机构。支持以企业为主体建设重点实验室、工程实验室、工程（技术）研究中心、企业技术中心等创新平台及新型研发机构，鼓励实行独立法人化运行，支持符合条件的研发机构升级为国家级、省级创新平台。企业采购用于研发的仪器设备，按规定实行固定资产加速折旧政策，其中单位价值不超过100万元的，按规定一次性在计算应纳税所得额时扣除。</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lastRenderedPageBreak/>
        <w:t>    （八）推动建立企业主导的技术创新组织形式。用足用好市级创新发展专项资金,加快推进高新技术产业“铸链工程”,加速新兴产业倍增翻番。引导支持具备条件的产业技术创新战略联盟登记成为具有独立法人资格的社会团体或民办非企业单位。支持联盟与高校院所共建实体性产业研究院，引导联盟企业逐步形成产品供应链，鼓励联盟企业相互参股控股。产业技术创新战略联盟开展的共性关键技术攻关、重大科技成果转化，由企业先行投入，财政根据绩效，给予后补助、奖励等支持。</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四、激发科研机构创新活力</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九）赋予科研机构更大自主权。高校在人员控制总量内、科研院所在编制员额内，按规定自主制定岗位设置方案；自主安排、执行用人计划，并建立动态调整机制；自主公开招聘各类创新人才，可采取考察方式直接招聘紧缺的专业人才、高层次人才。岗位设置、公开招聘方案及招聘结果向相关部门报备。高校、科研院所可统筹使用中、初级专业技术岗位。全面推进高校职称制度改革，由单位自主评价、按岗聘用。在职科研人员基本工资按国家规定执行，绩效工资在核定的总量内自主搞活内部分配。科技成果转化收益中用于人员激励的部分计入本单位当年工资总额，但不受本单位当年绩效工资总量限制，不作为本单位当年工资总额基数，有关情况要进行公示。</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全面推进校城融合发展。全面深化淄博市与山东理工大学的合作，实施学科产业对接、产业升级助推等九大工程，对符合淄博市传统产业转型升级和新兴产业培育的重点学科和优势技术领域，市财政给予稳定持续支持。鼓励山东理工大学与淄博市企事业单位通过自主选题，共同组织实施科技项目研究开发、科技成果转化推广，促进高校科技、人才、学科优势与淄博区位、资源、产业优势全面对接。</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（十一）完善科技成果转化机制。加强技术转移平台、技术服务人才和技术转移机构等要素支撑，推进我市技术市场</w:t>
      </w:r>
      <w:hyperlink r:id="rId9" w:tgtFrame="http://www.010lm.com/redian/2016/1202/_blank" w:history="1">
        <w:r w:rsidRPr="00391E07">
          <w:rPr>
            <w:rStyle w:val="a4"/>
            <w:rFonts w:asciiTheme="minorEastAsia" w:hAnsiTheme="minorEastAsia" w:cs="仿宋_GB2312" w:hint="eastAsia"/>
            <w:color w:val="000000"/>
            <w:sz w:val="30"/>
            <w:szCs w:val="30"/>
            <w:u w:val="none"/>
            <w:shd w:val="clear" w:color="auto" w:fill="FFFFFF"/>
          </w:rPr>
          <w:t>健康</w:t>
        </w:r>
      </w:hyperlink>
      <w:r w:rsidRPr="00391E07">
        <w:rPr>
          <w:rFonts w:asciiTheme="minorEastAsia" w:hAnsiTheme="minorEastAsia" w:cs="仿宋_GB2312" w:hint="eastAsia"/>
          <w:color w:val="000000"/>
          <w:sz w:val="30"/>
          <w:szCs w:val="30"/>
          <w:shd w:val="clear" w:color="auto" w:fill="FFFFFF"/>
        </w:rPr>
        <w:t>发展。对进入示</w:t>
      </w:r>
      <w:r w:rsidRPr="00391E07">
        <w:rPr>
          <w:rFonts w:asciiTheme="minorEastAsia" w:hAnsiTheme="minorEastAsia" w:cs="仿宋_GB2312" w:hint="eastAsia"/>
          <w:color w:val="000000"/>
          <w:sz w:val="30"/>
          <w:szCs w:val="30"/>
          <w:shd w:val="clear" w:color="auto" w:fill="FFFFFF"/>
        </w:rPr>
        <w:lastRenderedPageBreak/>
        <w:t>范性国家技术转移机构范围的技术转移机构，在省财政一次性给予最高600万元奖励的基础上，市财政再给予最高200万元奖励。对在省内转化山东高校和科研院所科技成果，年技术合同登记成交额达2000万元以上，且促成不低于5项重大科技成果转化的技术转移机构，省财政给予最高50万元的经费补助，对促进科技成果落地我市的市内技术转移机构，市财政再给予最高50万元补助。建立市科技成果转化专项资金，对受托承担国家、省重大科技成果转化任务，执行期内项目新增销售收入达5000万元以上的单位，给予最高50万元奖励。对采购本市具有自主知识产权的产品，采购额超过1000万元的单位，市财政给予最高不超过100万元的补助。</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五、发挥科技创新支撑引领作用</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二）支持山东半岛国家自主创新示范区（淄博）先行先试。贯彻落实高新区“双带”工程，支持高新区加强新型研发组织和创业孵化体系建设，支持高新区积极培育创新型产业集群。进一步完善高新区差异化考核评价办法，突出研发投入、发明专利、高新技术企业、成果转化等创新指标。发挥高新区内科技创新资源聚集优势，带动相关区县高新技术产业基础较好、创新要素相对丰富、发展潜力较大、区位条件较好的特色产业园区共同打造“一区多园”的国家自主创新示范区发展格局，努力打造国内尖端水平、具有全球影响力的新材料研发中心和产业高地。</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三）实施重大科技创新工程。聚焦我市传统产业转型升级和新兴产业发展，实施政策叠加、资源倾注，重点支持高新区无机非金属材料、有机高分子材料、有色金属材料等新材料产业集群化发展，支持淄博经济开发区打造转型发展的新引擎、产城融合的样板区、创新发展的示范区，支持东岳氟硅材料产业园区打造国内规模最大的氟硅材料特色专业化园区，支持主城区北部区域打造电子信息产业集群，支持齐鲁化工区（一区四园）大力发展绿色化工，支持高效电机和泵业产业园区建设发展。全面对接省重大科技创新工程，积极推进我市重大科技项目建设，争取每年</w:t>
      </w:r>
      <w:r w:rsidRPr="00391E07">
        <w:rPr>
          <w:rFonts w:asciiTheme="minorEastAsia" w:hAnsiTheme="minorEastAsia" w:cs="仿宋_GB2312" w:hint="eastAsia"/>
          <w:color w:val="000000"/>
          <w:sz w:val="30"/>
          <w:szCs w:val="30"/>
          <w:shd w:val="clear" w:color="auto" w:fill="FFFFFF"/>
        </w:rPr>
        <w:lastRenderedPageBreak/>
        <w:t>3-5个项目进入全省50个重大科技创新项目范围。实施高新技术创新“双十”计划，每年推动10项关键技术创新研发、推进10项高新技术成果转化及产业化，进一步强化重大项目的技术引领和示范带动作用。</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四）完善科技创新平台布局。瞄准科技创新前沿，在新材料、生物及医药、高端装备制造、新一代信息技术、新能源及节能环保等五大战略性新兴产业领域，完善重点实验室、工程实验室、工程（技术）研究中心、企业技术中心及新型研发机构等创新平台建设布局，建设5家国家级创新平台，对获批立项的国家级、省级创新平台，市财政分别给予最高200万元、50万元奖励。对新设立的院士工作站和博士后科研工作站分别给予20万元和15万元补助。加快创新公共服务平台建设，推进国家陶瓷新材料创新中心、鲁中创业创新中心、山东新材料产业技术研究院和鲁中先进装备产业技术研究院建设，提升支持区域经济创新发展的能力。</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五）加强农业科技园区布局建设。支持高青县加快融入黄河三角洲国家农业高新技术产业示范区建设。支持淄博市齐城农业高新技术开发区加快发展。加快实现全市涉农区县省级农业科技园全覆盖，积极创建省级农业高新技术产业开发区，搭建省级农业科技园、省级农业高新技术产业开发区联动发展的农业科技创新园区体系。</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六）培育科技创新品牌。实施“十个十”科技创新品牌培育工程，在技术创新研发平台、科技创新公共服务平台、（国际）科技合作示范基地、专业化科技企业孵化器和众创空间、优秀创业导师、科技创新创业领军人才（团队）、产业技术创新战略联盟、重点领域关键核心技术知识产权、</w:t>
      </w:r>
      <w:hyperlink r:id="rId10" w:tgtFrame="http://www.010lm.com/redian/2016/1202/_blank" w:history="1">
        <w:r w:rsidRPr="00391E07">
          <w:rPr>
            <w:rStyle w:val="a4"/>
            <w:rFonts w:asciiTheme="minorEastAsia" w:hAnsiTheme="minorEastAsia" w:cs="仿宋_GB2312" w:hint="eastAsia"/>
            <w:color w:val="000000"/>
            <w:sz w:val="30"/>
            <w:szCs w:val="30"/>
            <w:shd w:val="clear" w:color="auto" w:fill="FFFFFF"/>
          </w:rPr>
          <w:t>明星</w:t>
        </w:r>
      </w:hyperlink>
      <w:r w:rsidRPr="00391E07">
        <w:rPr>
          <w:rFonts w:asciiTheme="minorEastAsia" w:hAnsiTheme="minorEastAsia" w:cs="仿宋_GB2312" w:hint="eastAsia"/>
          <w:color w:val="000000"/>
          <w:sz w:val="30"/>
          <w:szCs w:val="30"/>
          <w:shd w:val="clear" w:color="auto" w:fill="FFFFFF"/>
        </w:rPr>
        <w:t>科技型小微企业和创新型产业集群（基地）等10个方面，各形成10个左右科技创新品牌，进入全省“十个一百”科技创新品牌培育工程。</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六、完善支持人才创新机制</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lastRenderedPageBreak/>
        <w:t>     （十七）加大创新人才引进力度。出台《关于深化人才发展体制机制改革进一步加强人才队伍建设的意见》，制定《淄博市“十三五”人才发展规划》。支持引进国际国内一流或顶尖人才团队，落实好省财政通过项目资助、创业扶持、股权投资、贷款贴息等方式，给予每个人才团队3000-5000万元综合资助的政策。对于我市引进的国际国内一流或顶尖人才团队，实行“特事特办、一人一策”，市财政给予最高2000万元的资助。</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八）加强对创新人才的支持。对两院院士、长江学者、入选国家“千人计划”和“万人计划”等顶尖人才，入选省“泰山学者”和“泰山产业领军人才工程”等高端人才，入选“淄博英才计划”等高层次人才，带项目、带技术在我市创（领）办新企业进行创业的，经认定，市财政分别给予500万元、300万元、100万元的项目启动资金。</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xml:space="preserve">     </w:t>
      </w:r>
      <w:r w:rsidRPr="00391E07">
        <w:rPr>
          <w:rFonts w:asciiTheme="minorEastAsia" w:hAnsiTheme="minorEastAsia" w:cs="仿宋_GB2312" w:hint="eastAsia"/>
          <w:b/>
          <w:bCs/>
          <w:color w:val="000000"/>
          <w:sz w:val="30"/>
          <w:szCs w:val="30"/>
          <w:shd w:val="clear" w:color="auto" w:fill="FFFFFF"/>
        </w:rPr>
        <w:t>七、促进科技和金融紧密结合</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十九）加大政府股权投资引导基金支持创新力度。省级引导基金参股子基金投资种子期、初创期科技型企业发生投资损失的，省财政对社会出资人分别按不超过其实际投资损失的60%和30%给予补偿，单一项目补偿金额最高300万元，单一投资机构年度累计补偿金额最高600万元，对于符合省财政补偿条件且投资我市企业的市内社会出资人所产生的损失，市财政在省财政补偿基础上按1:0.5再给予补偿。</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建立投贷联动机制。健全信用贷款风险补偿机制，引导银行金融机构加大对科技型企业的信贷投放力度。鼓励银行金融机构创新业务模式和管理机制，推出符合科技型企业融资需求特点的创新产品。建立市级财政主导的科技成果转化贷款风险补偿机制，引导银行机构为科技型中小微企业实施科技成果转化提供资金支持。设立知识产权质押融资风险补偿基金，加大知识产权质押融资政策实施力度。</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（二十一）加大科技保险财政支持力度。实施首批（次）新材料、软件系统保险补偿，企业购买的在国内率先实现重大创新或能替代进口的</w:t>
      </w:r>
      <w:r w:rsidRPr="00391E07">
        <w:rPr>
          <w:rFonts w:asciiTheme="minorEastAsia" w:hAnsiTheme="minorEastAsia" w:cs="仿宋_GB2312" w:hint="eastAsia"/>
          <w:color w:val="000000"/>
          <w:sz w:val="30"/>
          <w:szCs w:val="30"/>
          <w:shd w:val="clear" w:color="auto" w:fill="FFFFFF"/>
        </w:rPr>
        <w:lastRenderedPageBreak/>
        <w:t>新材料、软件系统产品质量保证保险、产品责任保险和产品责任综合险，省财政按不高于3%的费率及实际投保年度保费的80%给予补贴，市财政再给予20%的补贴。</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二）强化科技金融服务。建设淄博市科技金融服务平台，加快区域性科技金融服务平台或一站式服务中心布局，引导科技型中小微企业挂牌齐鲁股权交易中心科技版，市财政予以支持。鼓励有条件的区县积极探索科技和金融结合的新模式和新路径，加快建成区域科技金融高地。</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shd w:val="clear" w:color="auto" w:fill="FFFFFF"/>
        </w:rPr>
      </w:pPr>
      <w:r w:rsidRPr="00391E07">
        <w:rPr>
          <w:rFonts w:asciiTheme="minorEastAsia" w:hAnsiTheme="minorEastAsia" w:cs="仿宋_GB2312" w:hint="eastAsia"/>
          <w:color w:val="000000"/>
          <w:sz w:val="30"/>
          <w:szCs w:val="30"/>
          <w:shd w:val="clear" w:color="auto" w:fill="FFFFFF"/>
        </w:rPr>
        <w:t xml:space="preserve">      </w:t>
      </w:r>
      <w:r w:rsidRPr="00391E07">
        <w:rPr>
          <w:rFonts w:asciiTheme="minorEastAsia" w:hAnsiTheme="minorEastAsia" w:cs="仿宋_GB2312" w:hint="eastAsia"/>
          <w:b/>
          <w:bCs/>
          <w:color w:val="000000"/>
          <w:sz w:val="30"/>
          <w:szCs w:val="30"/>
          <w:shd w:val="clear" w:color="auto" w:fill="FFFFFF"/>
        </w:rPr>
        <w:t>八、构建现代科技服务体系</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xml:space="preserve">    （二十三）提升创新创业孵化服务能力。出台关于鼓励“零成本创业”进一步推动大众创业万众创新的若干政策意见，营造良好的创新创业氛围。对符合条件的科技企业孵化器，给予新建每平方米100元，上限100万元，改扩建每平方米50元，上限50万元孵化用房补助。对新认定的国家级、省级科技企业孵化器，分别给予最高200万元和50万元奖励。对新认定的国家级、省级众创空间，分别给予最高50万元和20万元的扶持资金。省级以上科技企业孵化器，通过融资租赁租用设备为小微企业提供服务产生的租赁费，省财政给予一定比例的补助，市财政按1:0.5给予配套补助。</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四）加大科学仪器设备共享。依托“省大型科学仪器设备协作共用网”，利用科学仪器设备为中小微企业提供检测、试验、分析等服务的供给方会员，省财政对服务量大、用户评价高、综合效益突出的给予后补助，市财政按照省补助金额的20%给予再补助。发挥好高新区生物医药公共技术服务平台、精细化工和高分子材料公共技术服务平台、无机非金属材料公共技术服务平台、电子信息综合服务平台和MEMS中试代工平台的服务功能，支持各区县建立公共技术服务平台，支持山东理工大学各类教学科研平台面向社会开放，对运行管理完善并为中小微企业提供优质高效服务的，按其服务效能，市财政给予最高100万元资金扶持。</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lastRenderedPageBreak/>
        <w:t>     （二十五）加快知识产权强市建设。支持掌握一批关键核心技术知识产权（群），省财政给予每项（群）最高100万元补助，市财政再给予最高50万元补助。年度专利合作条约( PCT)专利申请数量超过3件的企业，按照当年申请量给予阶梯奖励。加快建设鲁中知识产权服务中心，推动知识产权运营和知识产权密集型产业发展。推进知识产权综合行政执法改革，加大知识产权犯罪打击力度，强化知识产权维权援助。</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w:t>
      </w:r>
      <w:r w:rsidRPr="00391E07">
        <w:rPr>
          <w:rFonts w:asciiTheme="minorEastAsia" w:hAnsiTheme="minorEastAsia" w:cs="仿宋_GB2312" w:hint="eastAsia"/>
          <w:b/>
          <w:bCs/>
          <w:color w:val="000000"/>
          <w:sz w:val="30"/>
          <w:szCs w:val="30"/>
          <w:shd w:val="clear" w:color="auto" w:fill="FFFFFF"/>
        </w:rPr>
        <w:t>九、扩大科技交流合作</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（二十六）积极融入全球创新</w:t>
      </w:r>
      <w:hyperlink r:id="rId11" w:tgtFrame="http://www.010lm.com/redian/2016/1202/_blank" w:history="1">
        <w:r w:rsidRPr="00391E07">
          <w:rPr>
            <w:rStyle w:val="a4"/>
            <w:rFonts w:asciiTheme="minorEastAsia" w:hAnsiTheme="minorEastAsia" w:cs="仿宋_GB2312" w:hint="eastAsia"/>
            <w:color w:val="000000"/>
            <w:sz w:val="30"/>
            <w:szCs w:val="30"/>
            <w:shd w:val="clear" w:color="auto" w:fill="FFFFFF"/>
          </w:rPr>
          <w:t>网络</w:t>
        </w:r>
      </w:hyperlink>
      <w:r w:rsidRPr="00391E07">
        <w:rPr>
          <w:rFonts w:asciiTheme="minorEastAsia" w:hAnsiTheme="minorEastAsia" w:cs="仿宋_GB2312" w:hint="eastAsia"/>
          <w:color w:val="000000"/>
          <w:sz w:val="30"/>
          <w:szCs w:val="30"/>
          <w:shd w:val="clear" w:color="auto" w:fill="FFFFFF"/>
        </w:rPr>
        <w:t>。允许符合条件的外资研发机构和外籍专家承担市级科技计划项目，申报市级科学技术奖。办理外国专家短期来华手续，开展海外高层次人才办理永久居留证等便利化服务。以获取技术、人才、创新平台为目标的境外投资并购活动，在省级产业基金给予支持的同时，市级产业基金也给予相应支持。</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（二十七）拓宽国内科技合作渠道。进一步深化与中国科学院、中国工程院等院所和国内著名高校的全方位合作。加快推进中科院山东综合技术转化中心淄博中心建设，积极争取中国运载火箭技术研究院、</w:t>
      </w:r>
      <w:hyperlink r:id="rId12" w:tgtFrame="http://www.010lm.com/redian/2016/1202/_blank" w:history="1">
        <w:r w:rsidRPr="00391E07">
          <w:rPr>
            <w:rStyle w:val="a4"/>
            <w:rFonts w:asciiTheme="minorEastAsia" w:hAnsiTheme="minorEastAsia" w:cs="仿宋_GB2312" w:hint="eastAsia"/>
            <w:color w:val="000000"/>
            <w:sz w:val="30"/>
            <w:szCs w:val="30"/>
            <w:shd w:val="clear" w:color="auto" w:fill="FFFFFF"/>
          </w:rPr>
          <w:t>北京</w:t>
        </w:r>
      </w:hyperlink>
      <w:r w:rsidRPr="00391E07">
        <w:rPr>
          <w:rFonts w:asciiTheme="minorEastAsia" w:hAnsiTheme="minorEastAsia" w:cs="仿宋_GB2312" w:hint="eastAsia"/>
          <w:color w:val="000000"/>
          <w:sz w:val="30"/>
          <w:szCs w:val="30"/>
          <w:shd w:val="clear" w:color="auto" w:fill="FFFFFF"/>
        </w:rPr>
        <w:t>有色金属研究总院、景德镇陶瓷大学在我市设立科研分支机构或产业化基地，促进高水平成果来我市转化。</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b/>
          <w:bCs/>
          <w:color w:val="000000"/>
          <w:sz w:val="30"/>
          <w:szCs w:val="30"/>
        </w:rPr>
      </w:pPr>
      <w:r w:rsidRPr="00391E07">
        <w:rPr>
          <w:rFonts w:asciiTheme="minorEastAsia" w:hAnsiTheme="minorEastAsia" w:cs="仿宋_GB2312" w:hint="eastAsia"/>
          <w:color w:val="000000"/>
          <w:sz w:val="30"/>
          <w:szCs w:val="30"/>
          <w:shd w:val="clear" w:color="auto" w:fill="FFFFFF"/>
        </w:rPr>
        <w:t xml:space="preserve">      </w:t>
      </w:r>
      <w:r w:rsidRPr="00391E07">
        <w:rPr>
          <w:rFonts w:asciiTheme="minorEastAsia" w:hAnsiTheme="minorEastAsia" w:cs="仿宋_GB2312" w:hint="eastAsia"/>
          <w:b/>
          <w:bCs/>
          <w:color w:val="000000"/>
          <w:sz w:val="30"/>
          <w:szCs w:val="30"/>
          <w:shd w:val="clear" w:color="auto" w:fill="FFFFFF"/>
        </w:rPr>
        <w:t>十、加强党对科技工作的领导</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八）强化组织领导。各级党委、政府要切实肩负起领导和组织创新发展的责任，及时研究解决科技工作中遇到的重大问题。成立市深化科技体制改革领导小组，加强对科技体制改革工作的统筹协调，打破部门和区域条块分割，加强协作，形成推动科技创新合力。</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t>     （二十九）鼓励大胆探索。支持各区县因地制宜，差异化发展。尊重基层首创精神，及时总结推广基层好的经验做法。充分激发全社会创新活力，积极营造崇尚科学、无私奉献的社会氛围，弘扬勇于创新、宽容失败的创新文化。</w:t>
      </w:r>
    </w:p>
    <w:p w:rsidR="00C5175D" w:rsidRPr="00391E07" w:rsidRDefault="008F5D30">
      <w:pPr>
        <w:pStyle w:val="a3"/>
        <w:widowControl/>
        <w:shd w:val="clear" w:color="auto" w:fill="FFFFFF"/>
        <w:spacing w:beforeAutospacing="0" w:afterAutospacing="0" w:line="520" w:lineRule="exact"/>
        <w:rPr>
          <w:rFonts w:asciiTheme="minorEastAsia" w:hAnsiTheme="minorEastAsia" w:cs="仿宋_GB2312"/>
          <w:color w:val="000000"/>
          <w:sz w:val="30"/>
          <w:szCs w:val="30"/>
        </w:rPr>
      </w:pPr>
      <w:r w:rsidRPr="00391E07">
        <w:rPr>
          <w:rFonts w:asciiTheme="minorEastAsia" w:hAnsiTheme="minorEastAsia" w:cs="仿宋_GB2312" w:hint="eastAsia"/>
          <w:color w:val="000000"/>
          <w:sz w:val="30"/>
          <w:szCs w:val="30"/>
          <w:shd w:val="clear" w:color="auto" w:fill="FFFFFF"/>
        </w:rPr>
        <w:lastRenderedPageBreak/>
        <w:t>     （三十）抓好督导检查。严格落实科技法规，加强政策落实情况跟踪分析。建立深化科技体制改革任务落实督办制度，对各区县科技创新政策落实情况定期通报。将重点科技创新指标纳入各区县经济社会发展综合考核体系，考核结果作为领导班子和领导干部评价的重要依据。</w:t>
      </w:r>
    </w:p>
    <w:p w:rsidR="00C5175D" w:rsidRPr="00391E07" w:rsidRDefault="00C5175D">
      <w:pPr>
        <w:spacing w:line="520" w:lineRule="exact"/>
        <w:rPr>
          <w:rFonts w:asciiTheme="minorEastAsia" w:hAnsiTheme="minorEastAsia" w:cs="仿宋_GB2312"/>
          <w:color w:val="000000"/>
          <w:sz w:val="30"/>
          <w:szCs w:val="30"/>
          <w:shd w:val="clear" w:color="auto" w:fill="FFFFFF"/>
        </w:rPr>
      </w:pPr>
    </w:p>
    <w:sectPr w:rsidR="00C5175D" w:rsidRPr="00391E07" w:rsidSect="00E37992">
      <w:foot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A7" w:rsidRDefault="00AE77A7" w:rsidP="00D13C81">
      <w:r>
        <w:separator/>
      </w:r>
    </w:p>
  </w:endnote>
  <w:endnote w:type="continuationSeparator" w:id="0">
    <w:p w:rsidR="00AE77A7" w:rsidRDefault="00AE77A7" w:rsidP="00D13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36711"/>
      <w:docPartObj>
        <w:docPartGallery w:val="Page Numbers (Bottom of Page)"/>
        <w:docPartUnique/>
      </w:docPartObj>
    </w:sdtPr>
    <w:sdtContent>
      <w:p w:rsidR="00D13C81" w:rsidRDefault="00BF5455">
        <w:pPr>
          <w:pStyle w:val="a6"/>
          <w:jc w:val="center"/>
        </w:pPr>
        <w:fldSimple w:instr=" PAGE   \* MERGEFORMAT ">
          <w:r w:rsidR="00391E07" w:rsidRPr="00391E07">
            <w:rPr>
              <w:noProof/>
              <w:lang w:val="zh-CN"/>
            </w:rPr>
            <w:t>1</w:t>
          </w:r>
        </w:fldSimple>
      </w:p>
    </w:sdtContent>
  </w:sdt>
  <w:p w:rsidR="00D13C81" w:rsidRDefault="00D13C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A7" w:rsidRDefault="00AE77A7" w:rsidP="00D13C81">
      <w:r>
        <w:separator/>
      </w:r>
    </w:p>
  </w:footnote>
  <w:footnote w:type="continuationSeparator" w:id="0">
    <w:p w:rsidR="00AE77A7" w:rsidRDefault="00AE77A7" w:rsidP="00D13C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DE35C2E"/>
    <w:rsid w:val="000A5D4C"/>
    <w:rsid w:val="00391E07"/>
    <w:rsid w:val="00481462"/>
    <w:rsid w:val="0059651F"/>
    <w:rsid w:val="008F5D30"/>
    <w:rsid w:val="00AE77A7"/>
    <w:rsid w:val="00BF5455"/>
    <w:rsid w:val="00C5175D"/>
    <w:rsid w:val="00D13C81"/>
    <w:rsid w:val="00E37992"/>
    <w:rsid w:val="7DE35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75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5175D"/>
    <w:pPr>
      <w:spacing w:beforeAutospacing="1" w:afterAutospacing="1"/>
      <w:jc w:val="left"/>
    </w:pPr>
    <w:rPr>
      <w:rFonts w:cs="Times New Roman"/>
      <w:kern w:val="0"/>
      <w:sz w:val="24"/>
    </w:rPr>
  </w:style>
  <w:style w:type="character" w:styleId="a4">
    <w:name w:val="Hyperlink"/>
    <w:basedOn w:val="a0"/>
    <w:rsid w:val="00C5175D"/>
    <w:rPr>
      <w:color w:val="0000FF"/>
      <w:u w:val="single"/>
    </w:rPr>
  </w:style>
  <w:style w:type="paragraph" w:styleId="a5">
    <w:name w:val="header"/>
    <w:basedOn w:val="a"/>
    <w:link w:val="Char"/>
    <w:rsid w:val="00D13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13C81"/>
    <w:rPr>
      <w:rFonts w:asciiTheme="minorHAnsi" w:eastAsiaTheme="minorEastAsia" w:hAnsiTheme="minorHAnsi" w:cstheme="minorBidi"/>
      <w:kern w:val="2"/>
      <w:sz w:val="18"/>
      <w:szCs w:val="18"/>
    </w:rPr>
  </w:style>
  <w:style w:type="paragraph" w:styleId="a6">
    <w:name w:val="footer"/>
    <w:basedOn w:val="a"/>
    <w:link w:val="Char0"/>
    <w:uiPriority w:val="99"/>
    <w:rsid w:val="00D13C81"/>
    <w:pPr>
      <w:tabs>
        <w:tab w:val="center" w:pos="4153"/>
        <w:tab w:val="right" w:pos="8306"/>
      </w:tabs>
      <w:snapToGrid w:val="0"/>
      <w:jc w:val="left"/>
    </w:pPr>
    <w:rPr>
      <w:sz w:val="18"/>
      <w:szCs w:val="18"/>
    </w:rPr>
  </w:style>
  <w:style w:type="character" w:customStyle="1" w:styleId="Char0">
    <w:name w:val="页脚 Char"/>
    <w:basedOn w:val="a0"/>
    <w:link w:val="a6"/>
    <w:uiPriority w:val="99"/>
    <w:rsid w:val="00D13C8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010lm.com/dzh/list-115.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010lm.com/zixun/list-114.html" TargetMode="External"/><Relationship Id="rId12" Type="http://schemas.openxmlformats.org/officeDocument/2006/relationships/hyperlink" Target="http://www.010l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t.010l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010lm.com/zixun/list-124.html" TargetMode="External"/><Relationship Id="rId4" Type="http://schemas.openxmlformats.org/officeDocument/2006/relationships/webSettings" Target="webSettings.xml"/><Relationship Id="rId9" Type="http://schemas.openxmlformats.org/officeDocument/2006/relationships/hyperlink" Target="http://www.010lm.com/dzh/list-120.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129637</TotalTime>
  <Pages>9</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2017-02-16T07:06:00Z</cp:lastPrinted>
  <dcterms:created xsi:type="dcterms:W3CDTF">2017-01-22T12:16:00Z</dcterms:created>
  <dcterms:modified xsi:type="dcterms:W3CDTF">2017-07-03T06:11:00Z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