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90" w:lineRule="atLeast"/>
        <w:ind w:left="0" w:right="0" w:firstLine="0"/>
        <w:jc w:val="center"/>
        <w:rPr>
          <w:rFonts w:hint="eastAsia" w:ascii="微软雅黑" w:hAnsi="微软雅黑" w:eastAsia="微软雅黑" w:cs="微软雅黑"/>
          <w:b w:val="0"/>
          <w:i w:val="0"/>
          <w:caps w:val="0"/>
          <w:color w:val="333333"/>
          <w:spacing w:val="0"/>
          <w:sz w:val="42"/>
          <w:szCs w:val="42"/>
        </w:rPr>
      </w:pPr>
      <w:r>
        <w:rPr>
          <w:rFonts w:hint="eastAsia" w:ascii="微软雅黑" w:hAnsi="微软雅黑" w:eastAsia="微软雅黑" w:cs="微软雅黑"/>
          <w:b w:val="0"/>
          <w:i w:val="0"/>
          <w:caps w:val="0"/>
          <w:color w:val="333333"/>
          <w:spacing w:val="0"/>
          <w:sz w:val="42"/>
          <w:szCs w:val="42"/>
          <w:bdr w:val="none" w:color="auto" w:sz="0" w:space="0"/>
          <w:shd w:val="clear" w:fill="FFFFFF"/>
        </w:rPr>
        <w:t>内江市人民政府关于促进慈善事业健康发展的实施意见</w:t>
      </w:r>
    </w:p>
    <w:p>
      <w:pPr>
        <w:keepNext w:val="0"/>
        <w:keepLines w:val="0"/>
        <w:widowControl/>
        <w:suppressLineNumbers w:val="0"/>
        <w:pBdr>
          <w:top w:val="none" w:color="auto" w:sz="0" w:space="0"/>
          <w:left w:val="none" w:color="auto" w:sz="0" w:space="0"/>
          <w:bottom w:val="single" w:color="DBDEE1" w:sz="6" w:space="0"/>
          <w:right w:val="none" w:color="auto" w:sz="0" w:space="0"/>
        </w:pBdr>
        <w:shd w:val="clear" w:fill="FFFFFF"/>
        <w:spacing w:before="0" w:beforeAutospacing="0" w:after="0" w:afterAutospacing="0" w:line="510" w:lineRule="atLeast"/>
        <w:ind w:left="0" w:right="0" w:firstLine="0"/>
        <w:jc w:val="center"/>
        <w:rPr>
          <w:rFonts w:hint="eastAsia" w:ascii="微软雅黑" w:hAnsi="微软雅黑" w:eastAsia="微软雅黑" w:cs="微软雅黑"/>
          <w:b w:val="0"/>
          <w:i w:val="0"/>
          <w:caps w:val="0"/>
          <w:color w:val="666666"/>
          <w:spacing w:val="0"/>
          <w:sz w:val="21"/>
          <w:szCs w:val="21"/>
        </w:rPr>
      </w:pPr>
      <w:r>
        <w:rPr>
          <w:rFonts w:hint="eastAsia" w:ascii="微软雅黑" w:hAnsi="微软雅黑" w:eastAsia="微软雅黑" w:cs="微软雅黑"/>
          <w:b w:val="0"/>
          <w:i w:val="0"/>
          <w:caps w:val="0"/>
          <w:color w:val="666666"/>
          <w:spacing w:val="0"/>
          <w:kern w:val="0"/>
          <w:sz w:val="21"/>
          <w:szCs w:val="21"/>
          <w:bdr w:val="none" w:color="auto" w:sz="0" w:space="0"/>
          <w:shd w:val="clear" w:fill="FFFFFF"/>
          <w:lang w:val="en-US" w:eastAsia="zh-CN" w:bidi="ar"/>
        </w:rPr>
        <w:t>发布日期： 2016-03-18      来源：市政府办公室      保护视力色：                      </w:t>
      </w:r>
    </w:p>
    <w:p>
      <w:pPr>
        <w:keepNext w:val="0"/>
        <w:keepLines w:val="0"/>
        <w:widowControl/>
        <w:suppressLineNumbers w:val="0"/>
        <w:pBdr>
          <w:top w:val="none" w:color="auto" w:sz="0" w:space="0"/>
          <w:left w:val="none" w:color="auto" w:sz="0" w:space="0"/>
          <w:bottom w:val="single" w:color="DBDEE1" w:sz="6" w:space="0"/>
          <w:right w:val="none" w:color="auto" w:sz="0" w:space="0"/>
        </w:pBdr>
        <w:shd w:val="clear" w:fill="FFFFFF"/>
        <w:spacing w:before="0" w:beforeAutospacing="0" w:after="0" w:afterAutospacing="0" w:line="510" w:lineRule="atLeast"/>
        <w:ind w:left="0" w:right="0" w:firstLine="0"/>
        <w:jc w:val="center"/>
        <w:rPr>
          <w:rFonts w:hint="eastAsia" w:ascii="微软雅黑" w:hAnsi="微软雅黑" w:eastAsia="微软雅黑" w:cs="微软雅黑"/>
          <w:b w:val="0"/>
          <w:i w:val="0"/>
          <w:caps w:val="0"/>
          <w:color w:val="666666"/>
          <w:spacing w:val="0"/>
          <w:sz w:val="21"/>
          <w:szCs w:val="21"/>
        </w:rPr>
      </w:pPr>
      <w:r>
        <w:rPr>
          <w:rFonts w:hint="eastAsia" w:ascii="微软雅黑" w:hAnsi="微软雅黑" w:eastAsia="微软雅黑" w:cs="微软雅黑"/>
          <w:b w:val="0"/>
          <w:i w:val="0"/>
          <w:caps w:val="0"/>
          <w:color w:val="666666"/>
          <w:spacing w:val="0"/>
          <w:kern w:val="0"/>
          <w:sz w:val="18"/>
          <w:szCs w:val="18"/>
          <w:u w:val="none"/>
          <w:bdr w:val="none" w:color="auto" w:sz="0" w:space="0"/>
          <w:shd w:val="clear" w:fill="FFFFFF"/>
          <w:lang w:val="en-US" w:eastAsia="zh-CN" w:bidi="ar"/>
        </w:rPr>
        <w:fldChar w:fldCharType="begin"/>
      </w:r>
      <w:r>
        <w:rPr>
          <w:rFonts w:hint="eastAsia" w:ascii="微软雅黑" w:hAnsi="微软雅黑" w:eastAsia="微软雅黑" w:cs="微软雅黑"/>
          <w:b w:val="0"/>
          <w:i w:val="0"/>
          <w:caps w:val="0"/>
          <w:color w:val="666666"/>
          <w:spacing w:val="0"/>
          <w:kern w:val="0"/>
          <w:sz w:val="18"/>
          <w:szCs w:val="18"/>
          <w:u w:val="none"/>
          <w:bdr w:val="none" w:color="auto" w:sz="0" w:space="0"/>
          <w:shd w:val="clear" w:fill="FFFFFF"/>
          <w:lang w:val="en-US" w:eastAsia="zh-CN" w:bidi="ar"/>
        </w:rPr>
        <w:instrText xml:space="preserve"> HYPERLINK "http://www.neijiang.gov.cn/news/2016/03/javascript:void(0);" </w:instrText>
      </w:r>
      <w:r>
        <w:rPr>
          <w:rFonts w:hint="eastAsia" w:ascii="微软雅黑" w:hAnsi="微软雅黑" w:eastAsia="微软雅黑" w:cs="微软雅黑"/>
          <w:b w:val="0"/>
          <w:i w:val="0"/>
          <w:caps w:val="0"/>
          <w:color w:val="666666"/>
          <w:spacing w:val="0"/>
          <w:kern w:val="0"/>
          <w:sz w:val="18"/>
          <w:szCs w:val="18"/>
          <w:u w:val="none"/>
          <w:bdr w:val="none" w:color="auto" w:sz="0" w:space="0"/>
          <w:shd w:val="clear" w:fill="FFFFFF"/>
          <w:lang w:val="en-US" w:eastAsia="zh-CN" w:bidi="ar"/>
        </w:rPr>
        <w:fldChar w:fldCharType="separate"/>
      </w:r>
      <w:r>
        <w:rPr>
          <w:rStyle w:val="5"/>
          <w:rFonts w:hint="eastAsia" w:ascii="微软雅黑" w:hAnsi="微软雅黑" w:eastAsia="微软雅黑" w:cs="微软雅黑"/>
          <w:b w:val="0"/>
          <w:i w:val="0"/>
          <w:caps w:val="0"/>
          <w:color w:val="666666"/>
          <w:spacing w:val="0"/>
          <w:sz w:val="18"/>
          <w:szCs w:val="18"/>
          <w:u w:val="none"/>
          <w:bdr w:val="none" w:color="auto" w:sz="0" w:space="0"/>
          <w:shd w:val="clear" w:fill="FFFFFF"/>
        </w:rPr>
        <w:fldChar w:fldCharType="begin"/>
      </w:r>
      <w:r>
        <w:rPr>
          <w:rStyle w:val="5"/>
          <w:rFonts w:hint="eastAsia" w:ascii="微软雅黑" w:hAnsi="微软雅黑" w:eastAsia="微软雅黑" w:cs="微软雅黑"/>
          <w:b w:val="0"/>
          <w:i w:val="0"/>
          <w:caps w:val="0"/>
          <w:color w:val="666666"/>
          <w:spacing w:val="0"/>
          <w:sz w:val="18"/>
          <w:szCs w:val="18"/>
          <w:u w:val="none"/>
          <w:bdr w:val="none" w:color="auto" w:sz="0" w:space="0"/>
          <w:shd w:val="clear" w:fill="FFFFFF"/>
        </w:rPr>
        <w:instrText xml:space="preserve">INCLUDEPICTURE \d "http://www.neijiang.gov.cn/2017images/icon3.png" \* MERGEFORMATINET </w:instrText>
      </w:r>
      <w:r>
        <w:rPr>
          <w:rStyle w:val="5"/>
          <w:rFonts w:hint="eastAsia" w:ascii="微软雅黑" w:hAnsi="微软雅黑" w:eastAsia="微软雅黑" w:cs="微软雅黑"/>
          <w:b w:val="0"/>
          <w:i w:val="0"/>
          <w:caps w:val="0"/>
          <w:color w:val="666666"/>
          <w:spacing w:val="0"/>
          <w:sz w:val="18"/>
          <w:szCs w:val="18"/>
          <w:u w:val="none"/>
          <w:bdr w:val="none" w:color="auto" w:sz="0" w:space="0"/>
          <w:shd w:val="clear" w:fill="FFFFFF"/>
        </w:rPr>
        <w:fldChar w:fldCharType="separate"/>
      </w:r>
      <w:r>
        <w:rPr>
          <w:rStyle w:val="5"/>
          <w:rFonts w:hint="eastAsia" w:ascii="微软雅黑" w:hAnsi="微软雅黑" w:eastAsia="微软雅黑" w:cs="微软雅黑"/>
          <w:b w:val="0"/>
          <w:i w:val="0"/>
          <w:caps w:val="0"/>
          <w:color w:val="666666"/>
          <w:spacing w:val="0"/>
          <w:sz w:val="18"/>
          <w:szCs w:val="18"/>
          <w:u w:val="none"/>
          <w:bdr w:val="none" w:color="auto" w:sz="0" w:space="0"/>
          <w:shd w:val="clear" w:fill="FFFFFF"/>
        </w:rPr>
        <w:drawing>
          <wp:inline distT="0" distB="0" distL="114300" distR="114300">
            <wp:extent cx="342900" cy="342900"/>
            <wp:effectExtent l="0" t="0" r="0" b="0"/>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4"/>
                    <a:stretch>
                      <a:fillRect/>
                    </a:stretch>
                  </pic:blipFill>
                  <pic:spPr>
                    <a:xfrm>
                      <a:off x="0" y="0"/>
                      <a:ext cx="342900" cy="342900"/>
                    </a:xfrm>
                    <a:prstGeom prst="rect">
                      <a:avLst/>
                    </a:prstGeom>
                    <a:noFill/>
                    <a:ln w="9525">
                      <a:noFill/>
                    </a:ln>
                  </pic:spPr>
                </pic:pic>
              </a:graphicData>
            </a:graphic>
          </wp:inline>
        </w:drawing>
      </w:r>
      <w:r>
        <w:rPr>
          <w:rStyle w:val="5"/>
          <w:rFonts w:hint="eastAsia" w:ascii="微软雅黑" w:hAnsi="微软雅黑" w:eastAsia="微软雅黑" w:cs="微软雅黑"/>
          <w:b w:val="0"/>
          <w:i w:val="0"/>
          <w:caps w:val="0"/>
          <w:color w:val="666666"/>
          <w:spacing w:val="0"/>
          <w:sz w:val="18"/>
          <w:szCs w:val="18"/>
          <w:u w:val="none"/>
          <w:bdr w:val="none" w:color="auto" w:sz="0" w:space="0"/>
          <w:shd w:val="clear" w:fill="FFFFFF"/>
        </w:rPr>
        <w:fldChar w:fldCharType="end"/>
      </w:r>
      <w:r>
        <w:rPr>
          <w:rFonts w:hint="eastAsia" w:ascii="微软雅黑" w:hAnsi="微软雅黑" w:eastAsia="微软雅黑" w:cs="微软雅黑"/>
          <w:b w:val="0"/>
          <w:i w:val="0"/>
          <w:caps w:val="0"/>
          <w:color w:val="666666"/>
          <w:spacing w:val="0"/>
          <w:kern w:val="0"/>
          <w:sz w:val="18"/>
          <w:szCs w:val="18"/>
          <w:u w:val="none"/>
          <w:bdr w:val="none" w:color="auto" w:sz="0" w:space="0"/>
          <w:shd w:val="clear" w:fill="FFFFFF"/>
          <w:lang w:val="en-US" w:eastAsia="zh-CN" w:bidi="ar"/>
        </w:rPr>
        <w:fldChar w:fldCharType="end"/>
      </w:r>
      <w:r>
        <w:rPr>
          <w:rFonts w:hint="eastAsia" w:ascii="微软雅黑" w:hAnsi="微软雅黑" w:eastAsia="微软雅黑" w:cs="微软雅黑"/>
          <w:b w:val="0"/>
          <w:i w:val="0"/>
          <w:caps w:val="0"/>
          <w:color w:val="666666"/>
          <w:spacing w:val="0"/>
          <w:kern w:val="0"/>
          <w:sz w:val="18"/>
          <w:szCs w:val="18"/>
          <w:u w:val="none"/>
          <w:bdr w:val="none" w:color="auto" w:sz="0" w:space="0"/>
          <w:shd w:val="clear" w:fill="FFFFFF"/>
          <w:lang w:val="en-US" w:eastAsia="zh-CN" w:bidi="ar"/>
        </w:rPr>
        <w:fldChar w:fldCharType="begin"/>
      </w:r>
      <w:r>
        <w:rPr>
          <w:rFonts w:hint="eastAsia" w:ascii="微软雅黑" w:hAnsi="微软雅黑" w:eastAsia="微软雅黑" w:cs="微软雅黑"/>
          <w:b w:val="0"/>
          <w:i w:val="0"/>
          <w:caps w:val="0"/>
          <w:color w:val="666666"/>
          <w:spacing w:val="0"/>
          <w:kern w:val="0"/>
          <w:sz w:val="18"/>
          <w:szCs w:val="18"/>
          <w:u w:val="none"/>
          <w:bdr w:val="none" w:color="auto" w:sz="0" w:space="0"/>
          <w:shd w:val="clear" w:fill="FFFFFF"/>
          <w:lang w:val="en-US" w:eastAsia="zh-CN" w:bidi="ar"/>
        </w:rPr>
        <w:instrText xml:space="preserve"> HYPERLINK "http://www.neijiang.gov.cn/news/2016/03/javascript:void(0);" </w:instrText>
      </w:r>
      <w:r>
        <w:rPr>
          <w:rFonts w:hint="eastAsia" w:ascii="微软雅黑" w:hAnsi="微软雅黑" w:eastAsia="微软雅黑" w:cs="微软雅黑"/>
          <w:b w:val="0"/>
          <w:i w:val="0"/>
          <w:caps w:val="0"/>
          <w:color w:val="666666"/>
          <w:spacing w:val="0"/>
          <w:kern w:val="0"/>
          <w:sz w:val="18"/>
          <w:szCs w:val="18"/>
          <w:u w:val="none"/>
          <w:bdr w:val="none" w:color="auto" w:sz="0" w:space="0"/>
          <w:shd w:val="clear" w:fill="FFFFFF"/>
          <w:lang w:val="en-US" w:eastAsia="zh-CN" w:bidi="ar"/>
        </w:rPr>
        <w:fldChar w:fldCharType="separate"/>
      </w:r>
      <w:r>
        <w:rPr>
          <w:rStyle w:val="5"/>
          <w:rFonts w:hint="eastAsia" w:ascii="微软雅黑" w:hAnsi="微软雅黑" w:eastAsia="微软雅黑" w:cs="微软雅黑"/>
          <w:b w:val="0"/>
          <w:i w:val="0"/>
          <w:caps w:val="0"/>
          <w:color w:val="666666"/>
          <w:spacing w:val="0"/>
          <w:sz w:val="18"/>
          <w:szCs w:val="18"/>
          <w:u w:val="none"/>
          <w:bdr w:val="none" w:color="auto" w:sz="0" w:space="0"/>
          <w:shd w:val="clear" w:fill="FFFFFF"/>
        </w:rPr>
        <w:fldChar w:fldCharType="begin"/>
      </w:r>
      <w:r>
        <w:rPr>
          <w:rStyle w:val="5"/>
          <w:rFonts w:hint="eastAsia" w:ascii="微软雅黑" w:hAnsi="微软雅黑" w:eastAsia="微软雅黑" w:cs="微软雅黑"/>
          <w:b w:val="0"/>
          <w:i w:val="0"/>
          <w:caps w:val="0"/>
          <w:color w:val="666666"/>
          <w:spacing w:val="0"/>
          <w:sz w:val="18"/>
          <w:szCs w:val="18"/>
          <w:u w:val="none"/>
          <w:bdr w:val="none" w:color="auto" w:sz="0" w:space="0"/>
          <w:shd w:val="clear" w:fill="FFFFFF"/>
        </w:rPr>
        <w:instrText xml:space="preserve">INCLUDEPICTURE \d "http://www.neijiang.gov.cn/2017images/icon4.png" \* MERGEFORMATINET </w:instrText>
      </w:r>
      <w:r>
        <w:rPr>
          <w:rStyle w:val="5"/>
          <w:rFonts w:hint="eastAsia" w:ascii="微软雅黑" w:hAnsi="微软雅黑" w:eastAsia="微软雅黑" w:cs="微软雅黑"/>
          <w:b w:val="0"/>
          <w:i w:val="0"/>
          <w:caps w:val="0"/>
          <w:color w:val="666666"/>
          <w:spacing w:val="0"/>
          <w:sz w:val="18"/>
          <w:szCs w:val="18"/>
          <w:u w:val="none"/>
          <w:bdr w:val="none" w:color="auto" w:sz="0" w:space="0"/>
          <w:shd w:val="clear" w:fill="FFFFFF"/>
        </w:rPr>
        <w:fldChar w:fldCharType="separate"/>
      </w:r>
      <w:r>
        <w:rPr>
          <w:rStyle w:val="5"/>
          <w:rFonts w:hint="eastAsia" w:ascii="微软雅黑" w:hAnsi="微软雅黑" w:eastAsia="微软雅黑" w:cs="微软雅黑"/>
          <w:b w:val="0"/>
          <w:i w:val="0"/>
          <w:caps w:val="0"/>
          <w:color w:val="666666"/>
          <w:spacing w:val="0"/>
          <w:sz w:val="18"/>
          <w:szCs w:val="18"/>
          <w:u w:val="none"/>
          <w:bdr w:val="none" w:color="auto" w:sz="0" w:space="0"/>
          <w:shd w:val="clear" w:fill="FFFFFF"/>
        </w:rPr>
        <w:drawing>
          <wp:inline distT="0" distB="0" distL="114300" distR="114300">
            <wp:extent cx="342900" cy="342900"/>
            <wp:effectExtent l="0" t="0" r="0" b="0"/>
            <wp:docPr id="1"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G_257"/>
                    <pic:cNvPicPr>
                      <a:picLocks noChangeAspect="1"/>
                    </pic:cNvPicPr>
                  </pic:nvPicPr>
                  <pic:blipFill>
                    <a:blip r:embed="rId5"/>
                    <a:stretch>
                      <a:fillRect/>
                    </a:stretch>
                  </pic:blipFill>
                  <pic:spPr>
                    <a:xfrm>
                      <a:off x="0" y="0"/>
                      <a:ext cx="342900" cy="342900"/>
                    </a:xfrm>
                    <a:prstGeom prst="rect">
                      <a:avLst/>
                    </a:prstGeom>
                    <a:noFill/>
                    <a:ln w="9525">
                      <a:noFill/>
                    </a:ln>
                  </pic:spPr>
                </pic:pic>
              </a:graphicData>
            </a:graphic>
          </wp:inline>
        </w:drawing>
      </w:r>
      <w:r>
        <w:rPr>
          <w:rStyle w:val="5"/>
          <w:rFonts w:hint="eastAsia" w:ascii="微软雅黑" w:hAnsi="微软雅黑" w:eastAsia="微软雅黑" w:cs="微软雅黑"/>
          <w:b w:val="0"/>
          <w:i w:val="0"/>
          <w:caps w:val="0"/>
          <w:color w:val="666666"/>
          <w:spacing w:val="0"/>
          <w:sz w:val="18"/>
          <w:szCs w:val="18"/>
          <w:u w:val="none"/>
          <w:bdr w:val="none" w:color="auto" w:sz="0" w:space="0"/>
          <w:shd w:val="clear" w:fill="FFFFFF"/>
        </w:rPr>
        <w:fldChar w:fldCharType="end"/>
      </w:r>
      <w:r>
        <w:rPr>
          <w:rFonts w:hint="eastAsia" w:ascii="微软雅黑" w:hAnsi="微软雅黑" w:eastAsia="微软雅黑" w:cs="微软雅黑"/>
          <w:b w:val="0"/>
          <w:i w:val="0"/>
          <w:caps w:val="0"/>
          <w:color w:val="666666"/>
          <w:spacing w:val="0"/>
          <w:kern w:val="0"/>
          <w:sz w:val="18"/>
          <w:szCs w:val="18"/>
          <w:u w:val="none"/>
          <w:bdr w:val="none" w:color="auto" w:sz="0" w:space="0"/>
          <w:shd w:val="clear" w:fill="FFFFFF"/>
          <w:lang w:val="en-US" w:eastAsia="zh-CN" w:bidi="ar"/>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pPr>
      <w:r>
        <w:rPr>
          <w:rFonts w:hint="eastAsia" w:ascii="宋体" w:hAnsi="宋体" w:eastAsia="宋体" w:cs="宋体"/>
          <w:b w:val="0"/>
          <w:i w:val="0"/>
          <w:caps w:val="0"/>
          <w:color w:val="333333"/>
          <w:spacing w:val="0"/>
          <w:sz w:val="24"/>
          <w:szCs w:val="24"/>
          <w:bdr w:val="none" w:color="auto" w:sz="0" w:space="0"/>
          <w:shd w:val="clear" w:fill="FFFFFF"/>
        </w:rPr>
        <w:t>内府发[2016]7号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333333"/>
          <w:spacing w:val="0"/>
          <w:sz w:val="24"/>
          <w:szCs w:val="24"/>
          <w:bdr w:val="none" w:color="auto" w:sz="0" w:space="0"/>
          <w:shd w:val="clear" w:fill="FFFFFF"/>
        </w:rPr>
        <w:t>各县（区）人民政府、内江经济技术开发区管委会，市政府各部门、各直属机构，有关单位：</w:t>
      </w:r>
      <w:r>
        <w:rPr>
          <w:rFonts w:hint="eastAsia" w:ascii="宋体" w:hAnsi="宋体" w:eastAsia="宋体" w:cs="宋体"/>
          <w:b w:val="0"/>
          <w:i w:val="0"/>
          <w:caps w:val="0"/>
          <w:color w:val="333333"/>
          <w:spacing w:val="0"/>
          <w:sz w:val="24"/>
          <w:szCs w:val="24"/>
          <w:bdr w:val="none" w:color="auto" w:sz="0" w:space="0"/>
          <w:shd w:val="clear" w:fill="FFFFFF"/>
        </w:rPr>
        <w:br w:type="textWrapping"/>
      </w:r>
      <w:r>
        <w:rPr>
          <w:rFonts w:hint="eastAsia" w:ascii="宋体" w:hAnsi="宋体" w:eastAsia="宋体" w:cs="宋体"/>
          <w:b w:val="0"/>
          <w:i w:val="0"/>
          <w:caps w:val="0"/>
          <w:color w:val="333333"/>
          <w:spacing w:val="0"/>
          <w:sz w:val="24"/>
          <w:szCs w:val="24"/>
          <w:bdr w:val="none" w:color="auto" w:sz="0" w:space="0"/>
          <w:shd w:val="clear" w:fill="FFFFFF"/>
        </w:rPr>
        <w:t>　　为贯彻落实《四川省人民政府关于促进慈善事业健康发展的实施意见》（川府发〔2015〕44号），进一步加强和改进我市慈善工作，更好地保障和改善困难群众民生，现结合我市实际提出如下实施意见。</w:t>
      </w:r>
      <w:r>
        <w:rPr>
          <w:rFonts w:hint="eastAsia" w:ascii="宋体" w:hAnsi="宋体" w:eastAsia="宋体" w:cs="宋体"/>
          <w:b w:val="0"/>
          <w:i w:val="0"/>
          <w:caps w:val="0"/>
          <w:color w:val="333333"/>
          <w:spacing w:val="0"/>
          <w:sz w:val="24"/>
          <w:szCs w:val="24"/>
          <w:bdr w:val="none" w:color="auto" w:sz="0" w:space="0"/>
          <w:shd w:val="clear" w:fill="FFFFFF"/>
        </w:rPr>
        <w:br w:type="textWrapping"/>
      </w:r>
      <w:r>
        <w:rPr>
          <w:rFonts w:hint="eastAsia" w:ascii="宋体" w:hAnsi="宋体" w:eastAsia="宋体" w:cs="宋体"/>
          <w:b w:val="0"/>
          <w:i w:val="0"/>
          <w:caps w:val="0"/>
          <w:color w:val="333333"/>
          <w:spacing w:val="0"/>
          <w:sz w:val="24"/>
          <w:szCs w:val="24"/>
          <w:bdr w:val="none" w:color="auto" w:sz="0" w:space="0"/>
          <w:shd w:val="clear" w:fill="FFFFFF"/>
        </w:rPr>
        <w:t>　　一、指导思想和发展目标</w:t>
      </w:r>
      <w:r>
        <w:rPr>
          <w:rFonts w:hint="eastAsia" w:ascii="宋体" w:hAnsi="宋体" w:eastAsia="宋体" w:cs="宋体"/>
          <w:b w:val="0"/>
          <w:i w:val="0"/>
          <w:caps w:val="0"/>
          <w:color w:val="333333"/>
          <w:spacing w:val="0"/>
          <w:sz w:val="24"/>
          <w:szCs w:val="24"/>
          <w:bdr w:val="none" w:color="auto" w:sz="0" w:space="0"/>
          <w:shd w:val="clear" w:fill="FFFFFF"/>
        </w:rPr>
        <w:br w:type="textWrapping"/>
      </w:r>
      <w:r>
        <w:rPr>
          <w:rFonts w:hint="eastAsia" w:ascii="宋体" w:hAnsi="宋体" w:eastAsia="宋体" w:cs="宋体"/>
          <w:b w:val="0"/>
          <w:i w:val="0"/>
          <w:caps w:val="0"/>
          <w:color w:val="333333"/>
          <w:spacing w:val="0"/>
          <w:sz w:val="24"/>
          <w:szCs w:val="24"/>
          <w:bdr w:val="none" w:color="auto" w:sz="0" w:space="0"/>
          <w:shd w:val="clear" w:fill="FFFFFF"/>
        </w:rPr>
        <w:t>　　（一）指导思想。以邓小平理论、“三个代表”重要思想、科学发展观为指导，深入贯彻落实习近平总书记系列重要讲话精神，按照“突出扶贫济困、坚持改革创新、确保公开透明、强化规范管理”的原则，坚持政府推动、社会实施、公众参与、专业运作，鼓励支持与强化监管并重，努力形成与社会救助工作紧密衔接，在扶贫济困、改善民生、弘扬中华民族传统美德和社会主义核心价值观等方面充分发挥作用的慈善事业新格局。</w:t>
      </w:r>
      <w:r>
        <w:rPr>
          <w:rFonts w:hint="eastAsia" w:ascii="宋体" w:hAnsi="宋体" w:eastAsia="宋体" w:cs="宋体"/>
          <w:b w:val="0"/>
          <w:i w:val="0"/>
          <w:caps w:val="0"/>
          <w:color w:val="333333"/>
          <w:spacing w:val="0"/>
          <w:sz w:val="24"/>
          <w:szCs w:val="24"/>
          <w:bdr w:val="none" w:color="auto" w:sz="0" w:space="0"/>
          <w:shd w:val="clear" w:fill="FFFFFF"/>
        </w:rPr>
        <w:br w:type="textWrapping"/>
      </w:r>
      <w:r>
        <w:rPr>
          <w:rFonts w:hint="eastAsia" w:ascii="宋体" w:hAnsi="宋体" w:eastAsia="宋体" w:cs="宋体"/>
          <w:b w:val="0"/>
          <w:i w:val="0"/>
          <w:caps w:val="0"/>
          <w:color w:val="333333"/>
          <w:spacing w:val="0"/>
          <w:sz w:val="24"/>
          <w:szCs w:val="24"/>
          <w:bdr w:val="none" w:color="auto" w:sz="0" w:space="0"/>
          <w:shd w:val="clear" w:fill="FFFFFF"/>
        </w:rPr>
        <w:t>　　（二）发展目标。到2020年，慈善事业体制机制协调顺畅，扶持政策基本完善，监管体系健全有效，慈善行为规范有序，慈善活动公开透明，慈善组织和服务覆盖城乡，社会捐赠积极踊跃，志愿服务广泛开展，全社会支持慈善、参与慈善的氛围更加浓厚，慈善事业成为社会救助体系的有力补充，成为全面建成小康社会的重要力量。</w:t>
      </w:r>
      <w:r>
        <w:rPr>
          <w:rFonts w:hint="eastAsia" w:ascii="宋体" w:hAnsi="宋体" w:eastAsia="宋体" w:cs="宋体"/>
          <w:b w:val="0"/>
          <w:i w:val="0"/>
          <w:caps w:val="0"/>
          <w:color w:val="333333"/>
          <w:spacing w:val="0"/>
          <w:sz w:val="24"/>
          <w:szCs w:val="24"/>
          <w:bdr w:val="none" w:color="auto" w:sz="0" w:space="0"/>
          <w:shd w:val="clear" w:fill="FFFFFF"/>
        </w:rPr>
        <w:br w:type="textWrapping"/>
      </w:r>
      <w:r>
        <w:rPr>
          <w:rFonts w:hint="eastAsia" w:ascii="宋体" w:hAnsi="宋体" w:eastAsia="宋体" w:cs="宋体"/>
          <w:b w:val="0"/>
          <w:i w:val="0"/>
          <w:caps w:val="0"/>
          <w:color w:val="333333"/>
          <w:spacing w:val="0"/>
          <w:sz w:val="24"/>
          <w:szCs w:val="24"/>
          <w:bdr w:val="none" w:color="auto" w:sz="0" w:space="0"/>
          <w:shd w:val="clear" w:fill="FFFFFF"/>
        </w:rPr>
        <w:t>　　二、主要任务</w:t>
      </w:r>
      <w:r>
        <w:rPr>
          <w:rFonts w:hint="eastAsia" w:ascii="宋体" w:hAnsi="宋体" w:eastAsia="宋体" w:cs="宋体"/>
          <w:b w:val="0"/>
          <w:i w:val="0"/>
          <w:caps w:val="0"/>
          <w:color w:val="333333"/>
          <w:spacing w:val="0"/>
          <w:sz w:val="24"/>
          <w:szCs w:val="24"/>
          <w:bdr w:val="none" w:color="auto" w:sz="0" w:space="0"/>
          <w:shd w:val="clear" w:fill="FFFFFF"/>
        </w:rPr>
        <w:br w:type="textWrapping"/>
      </w:r>
      <w:r>
        <w:rPr>
          <w:rFonts w:hint="eastAsia" w:ascii="宋体" w:hAnsi="宋体" w:eastAsia="宋体" w:cs="宋体"/>
          <w:b w:val="0"/>
          <w:i w:val="0"/>
          <w:caps w:val="0"/>
          <w:color w:val="333333"/>
          <w:spacing w:val="0"/>
          <w:sz w:val="24"/>
          <w:szCs w:val="24"/>
          <w:bdr w:val="none" w:color="auto" w:sz="0" w:space="0"/>
          <w:shd w:val="clear" w:fill="FFFFFF"/>
        </w:rPr>
        <w:t>　　（一）引导社会各界投身慈善事业。</w:t>
      </w:r>
      <w:r>
        <w:rPr>
          <w:rFonts w:hint="eastAsia" w:ascii="宋体" w:hAnsi="宋体" w:eastAsia="宋体" w:cs="宋体"/>
          <w:b w:val="0"/>
          <w:i w:val="0"/>
          <w:caps w:val="0"/>
          <w:color w:val="333333"/>
          <w:spacing w:val="0"/>
          <w:sz w:val="24"/>
          <w:szCs w:val="24"/>
          <w:bdr w:val="none" w:color="auto" w:sz="0" w:space="0"/>
          <w:shd w:val="clear" w:fill="FFFFFF"/>
        </w:rPr>
        <w:br w:type="textWrapping"/>
      </w:r>
      <w:r>
        <w:rPr>
          <w:rFonts w:hint="eastAsia" w:ascii="宋体" w:hAnsi="宋体" w:eastAsia="宋体" w:cs="宋体"/>
          <w:b w:val="0"/>
          <w:i w:val="0"/>
          <w:caps w:val="0"/>
          <w:color w:val="333333"/>
          <w:spacing w:val="0"/>
          <w:sz w:val="24"/>
          <w:szCs w:val="24"/>
          <w:bdr w:val="none" w:color="auto" w:sz="0" w:space="0"/>
          <w:shd w:val="clear" w:fill="FFFFFF"/>
        </w:rPr>
        <w:t>　　鼓励社会各界开展慈善活动。鼓励社会各界以各类社会救助对象为重点，广泛开展有针对性的慈善救助活动。党政机关、事业单位要发挥带头示范作用，积极动员干部职工参与各类慈善活动。工会、共青团、妇联等人民团体要广泛动员社会公众为慈善事业捐赠资金、物资和提供志愿服务。引导各类企业将慈善精神融入企业文化建设，积极履行社会责任，通过捐赠、支持志愿服务、设立基金会等方式，开展形式多样的慈善活动。各类慈善组织要重点面向困难群体开展符合其宗旨的慈善活动。鼓励有条件的宗教团体和宗教活动场所依法依规开展各类慈善活动。充分发挥家庭、个人、志愿者在慈善活动中的积极作用。</w:t>
      </w:r>
      <w:r>
        <w:rPr>
          <w:rFonts w:hint="eastAsia" w:ascii="宋体" w:hAnsi="宋体" w:eastAsia="宋体" w:cs="宋体"/>
          <w:b w:val="0"/>
          <w:i w:val="0"/>
          <w:caps w:val="0"/>
          <w:color w:val="333333"/>
          <w:spacing w:val="0"/>
          <w:sz w:val="24"/>
          <w:szCs w:val="24"/>
          <w:bdr w:val="none" w:color="auto" w:sz="0" w:space="0"/>
          <w:shd w:val="clear" w:fill="FFFFFF"/>
        </w:rPr>
        <w:br w:type="textWrapping"/>
      </w:r>
      <w:r>
        <w:rPr>
          <w:rFonts w:hint="eastAsia" w:ascii="宋体" w:hAnsi="宋体" w:eastAsia="宋体" w:cs="宋体"/>
          <w:b w:val="0"/>
          <w:i w:val="0"/>
          <w:caps w:val="0"/>
          <w:color w:val="333333"/>
          <w:spacing w:val="0"/>
          <w:sz w:val="24"/>
          <w:szCs w:val="24"/>
          <w:bdr w:val="none" w:color="auto" w:sz="0" w:space="0"/>
          <w:shd w:val="clear" w:fill="FFFFFF"/>
        </w:rPr>
        <w:t>　　（二）鼓励开展形式多样的社会捐助和志愿服务。</w:t>
      </w:r>
      <w:r>
        <w:rPr>
          <w:rFonts w:hint="eastAsia" w:ascii="宋体" w:hAnsi="宋体" w:eastAsia="宋体" w:cs="宋体"/>
          <w:b w:val="0"/>
          <w:i w:val="0"/>
          <w:caps w:val="0"/>
          <w:color w:val="333333"/>
          <w:spacing w:val="0"/>
          <w:sz w:val="24"/>
          <w:szCs w:val="24"/>
          <w:bdr w:val="none" w:color="auto" w:sz="0" w:space="0"/>
          <w:shd w:val="clear" w:fill="FFFFFF"/>
        </w:rPr>
        <w:br w:type="textWrapping"/>
      </w:r>
      <w:r>
        <w:rPr>
          <w:rFonts w:hint="eastAsia" w:ascii="宋体" w:hAnsi="宋体" w:eastAsia="宋体" w:cs="宋体"/>
          <w:b w:val="0"/>
          <w:i w:val="0"/>
          <w:caps w:val="0"/>
          <w:color w:val="333333"/>
          <w:spacing w:val="0"/>
          <w:sz w:val="24"/>
          <w:szCs w:val="24"/>
          <w:bdr w:val="none" w:color="auto" w:sz="0" w:space="0"/>
          <w:shd w:val="clear" w:fill="FFFFFF"/>
        </w:rPr>
        <w:t>　　鼓励和支持社会公众通过捐款捐物、慈善消费和慈善义演、义拍、义卖、义展、义诊、义赛等方式为困难群众奉献爱心。探索捐赠知识产权收益、技术、股权、有价证券等新型捐赠方式，鼓励设立慈善信托，动员社会公众积极参与志愿服务，构建形式多样、内容丰富、机制健全、覆盖城乡的志愿服务体系。倡导社会力量兴办公益性医疗、教育、养老、残障康复、生态环保、文化体育等方面的机构和设施，为慈善事业提供更多的资金支持和服务载体。广泛设立社会捐助站点，建设城乡基层慈善综合服务平台。引导社会公众积极捐赠家庭闲置物品，发展慈善超市，方便群众开展捐赠活动。</w:t>
      </w:r>
      <w:r>
        <w:rPr>
          <w:rFonts w:hint="eastAsia" w:ascii="宋体" w:hAnsi="宋体" w:eastAsia="宋体" w:cs="宋体"/>
          <w:b w:val="0"/>
          <w:i w:val="0"/>
          <w:caps w:val="0"/>
          <w:color w:val="333333"/>
          <w:spacing w:val="0"/>
          <w:sz w:val="24"/>
          <w:szCs w:val="24"/>
          <w:bdr w:val="none" w:color="auto" w:sz="0" w:space="0"/>
          <w:shd w:val="clear" w:fill="FFFFFF"/>
        </w:rPr>
        <w:br w:type="textWrapping"/>
      </w:r>
      <w:r>
        <w:rPr>
          <w:rFonts w:hint="eastAsia" w:ascii="宋体" w:hAnsi="宋体" w:eastAsia="宋体" w:cs="宋体"/>
          <w:b w:val="0"/>
          <w:i w:val="0"/>
          <w:caps w:val="0"/>
          <w:color w:val="333333"/>
          <w:spacing w:val="0"/>
          <w:sz w:val="24"/>
          <w:szCs w:val="24"/>
          <w:bdr w:val="none" w:color="auto" w:sz="0" w:space="0"/>
          <w:shd w:val="clear" w:fill="FFFFFF"/>
        </w:rPr>
        <w:t>　　（三）培育和规范各类慈善组织。</w:t>
      </w:r>
      <w:r>
        <w:rPr>
          <w:rFonts w:hint="eastAsia" w:ascii="宋体" w:hAnsi="宋体" w:eastAsia="宋体" w:cs="宋体"/>
          <w:b w:val="0"/>
          <w:i w:val="0"/>
          <w:caps w:val="0"/>
          <w:color w:val="333333"/>
          <w:spacing w:val="0"/>
          <w:sz w:val="24"/>
          <w:szCs w:val="24"/>
          <w:bdr w:val="none" w:color="auto" w:sz="0" w:space="0"/>
          <w:shd w:val="clear" w:fill="FFFFFF"/>
        </w:rPr>
        <w:br w:type="textWrapping"/>
      </w:r>
      <w:r>
        <w:rPr>
          <w:rFonts w:hint="eastAsia" w:ascii="宋体" w:hAnsi="宋体" w:eastAsia="宋体" w:cs="宋体"/>
          <w:b w:val="0"/>
          <w:i w:val="0"/>
          <w:caps w:val="0"/>
          <w:color w:val="333333"/>
          <w:spacing w:val="0"/>
          <w:sz w:val="24"/>
          <w:szCs w:val="24"/>
          <w:bdr w:val="none" w:color="auto" w:sz="0" w:space="0"/>
          <w:shd w:val="clear" w:fill="FFFFFF"/>
        </w:rPr>
        <w:t>　　发展基层慈善组织。逐步下放符合条件的慈善组织登记管理权限，公益慈善类社会组织直接登记，优先发展具有扶贫济困功能的慈善组织，推动建立慈善领域联合型、行业性组织，规范发展网络慈善等新慈善形态。</w:t>
      </w:r>
      <w:r>
        <w:rPr>
          <w:rFonts w:hint="eastAsia" w:ascii="宋体" w:hAnsi="宋体" w:eastAsia="宋体" w:cs="宋体"/>
          <w:b w:val="0"/>
          <w:i w:val="0"/>
          <w:caps w:val="0"/>
          <w:color w:val="333333"/>
          <w:spacing w:val="0"/>
          <w:sz w:val="24"/>
          <w:szCs w:val="24"/>
          <w:bdr w:val="none" w:color="auto" w:sz="0" w:space="0"/>
          <w:shd w:val="clear" w:fill="FFFFFF"/>
        </w:rPr>
        <w:br w:type="textWrapping"/>
      </w:r>
      <w:r>
        <w:rPr>
          <w:rFonts w:hint="eastAsia" w:ascii="宋体" w:hAnsi="宋体" w:eastAsia="宋体" w:cs="宋体"/>
          <w:b w:val="0"/>
          <w:i w:val="0"/>
          <w:caps w:val="0"/>
          <w:color w:val="333333"/>
          <w:spacing w:val="0"/>
          <w:sz w:val="24"/>
          <w:szCs w:val="24"/>
          <w:bdr w:val="none" w:color="auto" w:sz="0" w:space="0"/>
          <w:shd w:val="clear" w:fill="FFFFFF"/>
        </w:rPr>
        <w:t>　　加强慈善组织内部管理。慈善组织要健全内部治理结构，完善决策、执行、监督制度和决策机构议事规则，加强内部控制和审计，确保慈善活动按照组织章程有序运作。基金会工作人员工资福利和行政办公支出等管理成本不得超过当年总支出的10%，其他慈善组织管理成本可参照基金会执行。捐赠协议约定从捐赠财产中列支管理成本的，可按照约定执行。</w:t>
      </w:r>
      <w:r>
        <w:rPr>
          <w:rFonts w:hint="eastAsia" w:ascii="宋体" w:hAnsi="宋体" w:eastAsia="宋体" w:cs="宋体"/>
          <w:b w:val="0"/>
          <w:i w:val="0"/>
          <w:caps w:val="0"/>
          <w:color w:val="333333"/>
          <w:spacing w:val="0"/>
          <w:sz w:val="24"/>
          <w:szCs w:val="24"/>
          <w:bdr w:val="none" w:color="auto" w:sz="0" w:space="0"/>
          <w:shd w:val="clear" w:fill="FFFFFF"/>
        </w:rPr>
        <w:br w:type="textWrapping"/>
      </w:r>
      <w:r>
        <w:rPr>
          <w:rFonts w:hint="eastAsia" w:ascii="宋体" w:hAnsi="宋体" w:eastAsia="宋体" w:cs="宋体"/>
          <w:b w:val="0"/>
          <w:i w:val="0"/>
          <w:caps w:val="0"/>
          <w:color w:val="333333"/>
          <w:spacing w:val="0"/>
          <w:sz w:val="24"/>
          <w:szCs w:val="24"/>
          <w:bdr w:val="none" w:color="auto" w:sz="0" w:space="0"/>
          <w:shd w:val="clear" w:fill="FFFFFF"/>
        </w:rPr>
        <w:t>　　规范慈善募捐行为。引导慈善组织重点围绕扶贫济困、助残救孤、助学助医等开展募捐活动。具有募捐资格的慈善组织，可面向社会开展与其宗旨、业务范围相一致的募捐活动。新闻媒体、企事业单位、个人以及不具有募捐资格的慈善组织，以慈善名义开展募捐活动的，必须联合具有募捐资格的组织进行。报刊、广播、电视及互联网信息服务提供者、电信运营商，应依法依规对利用其平台发起募捐活动的慈善组织的合法性进行验证，包括查验登记证书、募捐主体资格证明材料。慈善组织募得款物应依法按照协议或承诺及时用于相关慈善项目，除不可抗力或经捐赠人同意外，不得以任何理由延误。未经捐赠人同意，不得擅自更改款物用途。任何组织和个人不得以慈善名义敛财。</w:t>
      </w:r>
      <w:r>
        <w:rPr>
          <w:rFonts w:hint="eastAsia" w:ascii="宋体" w:hAnsi="宋体" w:eastAsia="宋体" w:cs="宋体"/>
          <w:b w:val="0"/>
          <w:i w:val="0"/>
          <w:caps w:val="0"/>
          <w:color w:val="333333"/>
          <w:spacing w:val="0"/>
          <w:sz w:val="24"/>
          <w:szCs w:val="24"/>
          <w:bdr w:val="none" w:color="auto" w:sz="0" w:space="0"/>
          <w:shd w:val="clear" w:fill="FFFFFF"/>
        </w:rPr>
        <w:br w:type="textWrapping"/>
      </w:r>
      <w:r>
        <w:rPr>
          <w:rFonts w:hint="eastAsia" w:ascii="宋体" w:hAnsi="宋体" w:eastAsia="宋体" w:cs="宋体"/>
          <w:b w:val="0"/>
          <w:i w:val="0"/>
          <w:caps w:val="0"/>
          <w:color w:val="333333"/>
          <w:spacing w:val="0"/>
          <w:sz w:val="24"/>
          <w:szCs w:val="24"/>
          <w:bdr w:val="none" w:color="auto" w:sz="0" w:space="0"/>
          <w:shd w:val="clear" w:fill="FFFFFF"/>
        </w:rPr>
        <w:t>　　强化慈善组织信息公开责任。慈善组织应向社会公开组织章程、组织机构代码、登记证书号码、负责人信息、联系方式、年度工作报告、经审计的财务会计报告和开展募捐、接受捐赠、捐赠款物使用、慈善项目实施、资产保值增值等情况以及依法应当公开的其他信息。信息公开应当真实、准确、完整、及时。对涉及国家安全、商业秘密、个人隐私等依法不予公开的信息和捐赠人或受益人与慈善组织协议约定不予公开的信息不得公开，但应当接受政府有关部门的监督检查。</w:t>
      </w:r>
      <w:r>
        <w:rPr>
          <w:rFonts w:hint="eastAsia" w:ascii="宋体" w:hAnsi="宋体" w:eastAsia="宋体" w:cs="宋体"/>
          <w:b w:val="0"/>
          <w:i w:val="0"/>
          <w:caps w:val="0"/>
          <w:color w:val="333333"/>
          <w:spacing w:val="0"/>
          <w:sz w:val="24"/>
          <w:szCs w:val="24"/>
          <w:bdr w:val="none" w:color="auto" w:sz="0" w:space="0"/>
          <w:shd w:val="clear" w:fill="FFFFFF"/>
        </w:rPr>
        <w:br w:type="textWrapping"/>
      </w:r>
      <w:r>
        <w:rPr>
          <w:rFonts w:hint="eastAsia" w:ascii="宋体" w:hAnsi="宋体" w:eastAsia="宋体" w:cs="宋体"/>
          <w:b w:val="0"/>
          <w:i w:val="0"/>
          <w:caps w:val="0"/>
          <w:color w:val="333333"/>
          <w:spacing w:val="0"/>
          <w:sz w:val="24"/>
          <w:szCs w:val="24"/>
          <w:bdr w:val="none" w:color="auto" w:sz="0" w:space="0"/>
          <w:shd w:val="clear" w:fill="FFFFFF"/>
        </w:rPr>
        <w:t>　　（四）鼓励和发展各类志愿服务。</w:t>
      </w:r>
      <w:r>
        <w:rPr>
          <w:rFonts w:hint="eastAsia" w:ascii="宋体" w:hAnsi="宋体" w:eastAsia="宋体" w:cs="宋体"/>
          <w:b w:val="0"/>
          <w:i w:val="0"/>
          <w:caps w:val="0"/>
          <w:color w:val="333333"/>
          <w:spacing w:val="0"/>
          <w:sz w:val="24"/>
          <w:szCs w:val="24"/>
          <w:bdr w:val="none" w:color="auto" w:sz="0" w:space="0"/>
          <w:shd w:val="clear" w:fill="FFFFFF"/>
        </w:rPr>
        <w:br w:type="textWrapping"/>
      </w:r>
      <w:r>
        <w:rPr>
          <w:rFonts w:hint="eastAsia" w:ascii="宋体" w:hAnsi="宋体" w:eastAsia="宋体" w:cs="宋体"/>
          <w:b w:val="0"/>
          <w:i w:val="0"/>
          <w:caps w:val="0"/>
          <w:color w:val="333333"/>
          <w:spacing w:val="0"/>
          <w:sz w:val="24"/>
          <w:szCs w:val="24"/>
          <w:bdr w:val="none" w:color="auto" w:sz="0" w:space="0"/>
          <w:shd w:val="clear" w:fill="FFFFFF"/>
        </w:rPr>
        <w:t>　　动员社会公众积极参与志愿服务，构建形式多样、内容丰富、机制健全、覆盖城乡的志愿服务体系。鼓励社会各界成立志愿服务组织。倡导具备专业技能和服务条件的公民注册成为志愿者。推进志愿者信息平台建设，实现志愿者线上注册和志愿服务记录，推动志愿者星级评定。充分发挥志愿者在生活救助、邻里相助、支教助学、法律援助、心理抚慰、应急救援、抢险救灾等志愿服务活动中的公益性与专业性优势，重点为老年人、未成年人、残疾人、失业人员等社会群体提供志愿服务。</w:t>
      </w:r>
      <w:r>
        <w:rPr>
          <w:rFonts w:hint="eastAsia" w:ascii="宋体" w:hAnsi="宋体" w:eastAsia="宋体" w:cs="宋体"/>
          <w:b w:val="0"/>
          <w:i w:val="0"/>
          <w:caps w:val="0"/>
          <w:color w:val="333333"/>
          <w:spacing w:val="0"/>
          <w:sz w:val="24"/>
          <w:szCs w:val="24"/>
          <w:bdr w:val="none" w:color="auto" w:sz="0" w:space="0"/>
          <w:shd w:val="clear" w:fill="FFFFFF"/>
        </w:rPr>
        <w:br w:type="textWrapping"/>
      </w:r>
      <w:r>
        <w:rPr>
          <w:rFonts w:hint="eastAsia" w:ascii="宋体" w:hAnsi="宋体" w:eastAsia="宋体" w:cs="宋体"/>
          <w:b w:val="0"/>
          <w:i w:val="0"/>
          <w:caps w:val="0"/>
          <w:color w:val="333333"/>
          <w:spacing w:val="0"/>
          <w:sz w:val="24"/>
          <w:szCs w:val="24"/>
          <w:bdr w:val="none" w:color="auto" w:sz="0" w:space="0"/>
          <w:shd w:val="clear" w:fill="FFFFFF"/>
        </w:rPr>
        <w:t>　　（五）建设慈善信息平台。</w:t>
      </w:r>
      <w:r>
        <w:rPr>
          <w:rFonts w:hint="eastAsia" w:ascii="宋体" w:hAnsi="宋体" w:eastAsia="宋体" w:cs="宋体"/>
          <w:b w:val="0"/>
          <w:i w:val="0"/>
          <w:caps w:val="0"/>
          <w:color w:val="333333"/>
          <w:spacing w:val="0"/>
          <w:sz w:val="24"/>
          <w:szCs w:val="24"/>
          <w:bdr w:val="none" w:color="auto" w:sz="0" w:space="0"/>
          <w:shd w:val="clear" w:fill="FFFFFF"/>
        </w:rPr>
        <w:br w:type="textWrapping"/>
      </w:r>
      <w:r>
        <w:rPr>
          <w:rFonts w:hint="eastAsia" w:ascii="宋体" w:hAnsi="宋体" w:eastAsia="宋体" w:cs="宋体"/>
          <w:b w:val="0"/>
          <w:i w:val="0"/>
          <w:caps w:val="0"/>
          <w:color w:val="333333"/>
          <w:spacing w:val="0"/>
          <w:sz w:val="24"/>
          <w:szCs w:val="24"/>
          <w:bdr w:val="none" w:color="auto" w:sz="0" w:space="0"/>
          <w:shd w:val="clear" w:fill="FFFFFF"/>
        </w:rPr>
        <w:t>　　建立覆盖全市的慈善信息平台。民政部门要建立、运行和维护全市性、专业性、开放性慈善信息平台，依法依规向社会公开我市慈善事业发展规划、激励措施、年度统计、奖励和处罚、购买服务、评估审计、信用认证等相关信息，以及依法应当公开的其他信息。引导依法登记和备案的慈善组织在信息平台注册，并通过慈善信息平台及时向社会公开开展募捐、接受捐赠、捐赠款物使用、慈善项目实施等信息。</w:t>
      </w:r>
      <w:r>
        <w:rPr>
          <w:rFonts w:hint="eastAsia" w:ascii="宋体" w:hAnsi="宋体" w:eastAsia="宋体" w:cs="宋体"/>
          <w:b w:val="0"/>
          <w:i w:val="0"/>
          <w:caps w:val="0"/>
          <w:color w:val="333333"/>
          <w:spacing w:val="0"/>
          <w:sz w:val="24"/>
          <w:szCs w:val="24"/>
          <w:bdr w:val="none" w:color="auto" w:sz="0" w:space="0"/>
          <w:shd w:val="clear" w:fill="FFFFFF"/>
        </w:rPr>
        <w:br w:type="textWrapping"/>
      </w:r>
      <w:r>
        <w:rPr>
          <w:rFonts w:hint="eastAsia" w:ascii="宋体" w:hAnsi="宋体" w:eastAsia="宋体" w:cs="宋体"/>
          <w:b w:val="0"/>
          <w:i w:val="0"/>
          <w:caps w:val="0"/>
          <w:color w:val="333333"/>
          <w:spacing w:val="0"/>
          <w:sz w:val="24"/>
          <w:szCs w:val="24"/>
          <w:bdr w:val="none" w:color="auto" w:sz="0" w:space="0"/>
          <w:shd w:val="clear" w:fill="FFFFFF"/>
        </w:rPr>
        <w:t>　　建立信息与资源共享机制。畅通社会各方面参与慈善和社会救助的渠道。以低保信息化建设为基础，加快推进民政与医疗、教育、住房等救助信息的互联互通。完善民政部门、慈善组织、社会服务机构之间的衔接机制，实现社会救助信息和慈善资源、社会服务信息的对接、共享和匹配。鼓励自然人、法人和其他组织向社会救助管理部门和慈善组织提供求助、捐赠和救助信息。社会救助信息和慈善资源信息同时向审计等有关部门开放。</w:t>
      </w:r>
      <w:r>
        <w:rPr>
          <w:rFonts w:hint="eastAsia" w:ascii="宋体" w:hAnsi="宋体" w:eastAsia="宋体" w:cs="宋体"/>
          <w:b w:val="0"/>
          <w:i w:val="0"/>
          <w:caps w:val="0"/>
          <w:color w:val="333333"/>
          <w:spacing w:val="0"/>
          <w:sz w:val="24"/>
          <w:szCs w:val="24"/>
          <w:bdr w:val="none" w:color="auto" w:sz="0" w:space="0"/>
          <w:shd w:val="clear" w:fill="FFFFFF"/>
        </w:rPr>
        <w:br w:type="textWrapping"/>
      </w:r>
      <w:r>
        <w:rPr>
          <w:rFonts w:hint="eastAsia" w:ascii="宋体" w:hAnsi="宋体" w:eastAsia="宋体" w:cs="宋体"/>
          <w:b w:val="0"/>
          <w:i w:val="0"/>
          <w:caps w:val="0"/>
          <w:color w:val="333333"/>
          <w:spacing w:val="0"/>
          <w:sz w:val="24"/>
          <w:szCs w:val="24"/>
          <w:bdr w:val="none" w:color="auto" w:sz="0" w:space="0"/>
          <w:shd w:val="clear" w:fill="FFFFFF"/>
        </w:rPr>
        <w:t>　　（六）加强监督管理。</w:t>
      </w:r>
      <w:r>
        <w:rPr>
          <w:rFonts w:hint="eastAsia" w:ascii="宋体" w:hAnsi="宋体" w:eastAsia="宋体" w:cs="宋体"/>
          <w:b w:val="0"/>
          <w:i w:val="0"/>
          <w:caps w:val="0"/>
          <w:color w:val="333333"/>
          <w:spacing w:val="0"/>
          <w:sz w:val="24"/>
          <w:szCs w:val="24"/>
          <w:bdr w:val="none" w:color="auto" w:sz="0" w:space="0"/>
          <w:shd w:val="clear" w:fill="FFFFFF"/>
        </w:rPr>
        <w:br w:type="textWrapping"/>
      </w:r>
      <w:r>
        <w:rPr>
          <w:rFonts w:hint="eastAsia" w:ascii="宋体" w:hAnsi="宋体" w:eastAsia="宋体" w:cs="宋体"/>
          <w:b w:val="0"/>
          <w:i w:val="0"/>
          <w:caps w:val="0"/>
          <w:color w:val="333333"/>
          <w:spacing w:val="0"/>
          <w:sz w:val="24"/>
          <w:szCs w:val="24"/>
          <w:bdr w:val="none" w:color="auto" w:sz="0" w:space="0"/>
          <w:shd w:val="clear" w:fill="FFFFFF"/>
        </w:rPr>
        <w:t>　　加强政府监管。严格执行慈善组织年检制度和评估制度，建立健全并落实日常监督检查制度、重大慈善项目专项检查制度、慈善组织及其负责人信用记录制度。民政部门和其他相关部门要依法依规对自然人、法人和其他组织开展的慈善活动进行监管，及时查处和纠正违法违规活动。财政、税务部门要依法对慈善组织的财务会计、享受税收优惠和使用公益事业捐赠统一票据等情况进行监督管理。民政部门要委托第三方专业机构每年抽取一定比例的慈善组织进行审计。其他政府部门要在各自职责范围内对慈善组织和慈善活动进行监督管理。</w:t>
      </w:r>
      <w:r>
        <w:rPr>
          <w:rFonts w:hint="eastAsia" w:ascii="宋体" w:hAnsi="宋体" w:eastAsia="宋体" w:cs="宋体"/>
          <w:b w:val="0"/>
          <w:i w:val="0"/>
          <w:caps w:val="0"/>
          <w:color w:val="333333"/>
          <w:spacing w:val="0"/>
          <w:sz w:val="24"/>
          <w:szCs w:val="24"/>
          <w:bdr w:val="none" w:color="auto" w:sz="0" w:space="0"/>
          <w:shd w:val="clear" w:fill="FFFFFF"/>
        </w:rPr>
        <w:br w:type="textWrapping"/>
      </w:r>
      <w:r>
        <w:rPr>
          <w:rFonts w:hint="eastAsia" w:ascii="宋体" w:hAnsi="宋体" w:eastAsia="宋体" w:cs="宋体"/>
          <w:b w:val="0"/>
          <w:i w:val="0"/>
          <w:caps w:val="0"/>
          <w:color w:val="333333"/>
          <w:spacing w:val="0"/>
          <w:sz w:val="24"/>
          <w:szCs w:val="24"/>
          <w:bdr w:val="none" w:color="auto" w:sz="0" w:space="0"/>
          <w:shd w:val="clear" w:fill="FFFFFF"/>
        </w:rPr>
        <w:t>　　加强行业自律。充分发挥慈善领域联合型、行业性组织作用，建立健全行业标准和行为准则，增强行业自我约束、自我管理、自我监督能力。鼓励第三方专业机构根据民政部门委托，按照民政部门制定的评估规程和评估指标，对慈善组织开展评估。相关政府部门要将评估结果作为政府购买服务、评选表彰的重要依据。</w:t>
      </w:r>
      <w:r>
        <w:rPr>
          <w:rFonts w:hint="eastAsia" w:ascii="宋体" w:hAnsi="宋体" w:eastAsia="宋体" w:cs="宋体"/>
          <w:b w:val="0"/>
          <w:i w:val="0"/>
          <w:caps w:val="0"/>
          <w:color w:val="333333"/>
          <w:spacing w:val="0"/>
          <w:sz w:val="24"/>
          <w:szCs w:val="24"/>
          <w:bdr w:val="none" w:color="auto" w:sz="0" w:space="0"/>
          <w:shd w:val="clear" w:fill="FFFFFF"/>
        </w:rPr>
        <w:br w:type="textWrapping"/>
      </w:r>
      <w:r>
        <w:rPr>
          <w:rFonts w:hint="eastAsia" w:ascii="宋体" w:hAnsi="宋体" w:eastAsia="宋体" w:cs="宋体"/>
          <w:b w:val="0"/>
          <w:i w:val="0"/>
          <w:caps w:val="0"/>
          <w:color w:val="333333"/>
          <w:spacing w:val="0"/>
          <w:sz w:val="24"/>
          <w:szCs w:val="24"/>
          <w:bdr w:val="none" w:color="auto" w:sz="0" w:space="0"/>
          <w:shd w:val="clear" w:fill="FFFFFF"/>
        </w:rPr>
        <w:t>　　加强社会监督。建立社会监督受理机制，畅通社会公众对慈善活动中不良行为的投诉举报渠道。切实保障捐赠人对捐赠财产使用情况的监督权利。加大新闻媒体对慈善组织、慈善活动的监督力度，充分发挥舆论监督作用。</w:t>
      </w:r>
      <w:r>
        <w:rPr>
          <w:rFonts w:hint="eastAsia" w:ascii="宋体" w:hAnsi="宋体" w:eastAsia="宋体" w:cs="宋体"/>
          <w:b w:val="0"/>
          <w:i w:val="0"/>
          <w:caps w:val="0"/>
          <w:color w:val="333333"/>
          <w:spacing w:val="0"/>
          <w:sz w:val="24"/>
          <w:szCs w:val="24"/>
          <w:bdr w:val="none" w:color="auto" w:sz="0" w:space="0"/>
          <w:shd w:val="clear" w:fill="FFFFFF"/>
        </w:rPr>
        <w:br w:type="textWrapping"/>
      </w:r>
      <w:r>
        <w:rPr>
          <w:rFonts w:hint="eastAsia" w:ascii="宋体" w:hAnsi="宋体" w:eastAsia="宋体" w:cs="宋体"/>
          <w:b w:val="0"/>
          <w:i w:val="0"/>
          <w:caps w:val="0"/>
          <w:color w:val="333333"/>
          <w:spacing w:val="0"/>
          <w:sz w:val="24"/>
          <w:szCs w:val="24"/>
          <w:bdr w:val="none" w:color="auto" w:sz="0" w:space="0"/>
          <w:shd w:val="clear" w:fill="FFFFFF"/>
        </w:rPr>
        <w:t>　　建立健全责任追究制度。按照“谁登记、谁管理”原则，对慈善组织违规开展募捐活动、违反约定使用捐赠款物、拒不履行信息公开责任、资助或从事危害国家安全和公共利益活动等违法违规行为依法进行查处，对慈善组织或其负责人负面信用记录要予以曝光。按照属地管辖原则，对其他社会组织和个人以慈善为名组织实施的违反法律法规、违背公序良俗的行为和无正当理由拒不兑现或不完全兑现捐赠承诺、以诽谤造谣等方式损害慈善组织及其从业人员声誉等其他违法违规行为，依法及时查处。对政府有关部门及其工作人员滥用职权、徇私舞弊或玩忽职守、敷衍塞责造成严重后果的，要依法追究责任。</w:t>
      </w:r>
      <w:r>
        <w:rPr>
          <w:rFonts w:hint="eastAsia" w:ascii="宋体" w:hAnsi="宋体" w:eastAsia="宋体" w:cs="宋体"/>
          <w:b w:val="0"/>
          <w:i w:val="0"/>
          <w:caps w:val="0"/>
          <w:color w:val="333333"/>
          <w:spacing w:val="0"/>
          <w:sz w:val="24"/>
          <w:szCs w:val="24"/>
          <w:bdr w:val="none" w:color="auto" w:sz="0" w:space="0"/>
          <w:shd w:val="clear" w:fill="FFFFFF"/>
        </w:rPr>
        <w:br w:type="textWrapping"/>
      </w:r>
      <w:r>
        <w:rPr>
          <w:rFonts w:hint="eastAsia" w:ascii="宋体" w:hAnsi="宋体" w:eastAsia="宋体" w:cs="宋体"/>
          <w:b w:val="0"/>
          <w:i w:val="0"/>
          <w:caps w:val="0"/>
          <w:color w:val="333333"/>
          <w:spacing w:val="0"/>
          <w:sz w:val="24"/>
          <w:szCs w:val="24"/>
          <w:bdr w:val="none" w:color="auto" w:sz="0" w:space="0"/>
          <w:shd w:val="clear" w:fill="FFFFFF"/>
        </w:rPr>
        <w:t>　　三、激励措施</w:t>
      </w:r>
      <w:r>
        <w:rPr>
          <w:rFonts w:hint="eastAsia" w:ascii="宋体" w:hAnsi="宋体" w:eastAsia="宋体" w:cs="宋体"/>
          <w:b w:val="0"/>
          <w:i w:val="0"/>
          <w:caps w:val="0"/>
          <w:color w:val="333333"/>
          <w:spacing w:val="0"/>
          <w:sz w:val="24"/>
          <w:szCs w:val="24"/>
          <w:bdr w:val="none" w:color="auto" w:sz="0" w:space="0"/>
          <w:shd w:val="clear" w:fill="FFFFFF"/>
        </w:rPr>
        <w:br w:type="textWrapping"/>
      </w:r>
      <w:r>
        <w:rPr>
          <w:rFonts w:hint="eastAsia" w:ascii="宋体" w:hAnsi="宋体" w:eastAsia="宋体" w:cs="宋体"/>
          <w:b w:val="0"/>
          <w:i w:val="0"/>
          <w:caps w:val="0"/>
          <w:color w:val="333333"/>
          <w:spacing w:val="0"/>
          <w:sz w:val="24"/>
          <w:szCs w:val="24"/>
          <w:bdr w:val="none" w:color="auto" w:sz="0" w:space="0"/>
          <w:shd w:val="clear" w:fill="FFFFFF"/>
        </w:rPr>
        <w:t>　　（一）落实税收优惠。落实企业和个人公益性捐赠所得税税前扣除政策，企业发生的公益性捐赠支出，在年度利润总额12%以内的部分，准予在计算应纳税所得额时扣除；个人公益性捐赠额未超过纳税义务人申报的应纳税所得额30%的部分，可以从其应纳税所得额中扣除。对境外向我国境内依法设立的慈善组织无偿捐赠的直接用于慈善事业的物资，在有关法律及政策规定范围内享受进口税收优惠。简化办事程序，方便捐赠人办理有关减免税手续。</w:t>
      </w:r>
      <w:r>
        <w:rPr>
          <w:rFonts w:hint="eastAsia" w:ascii="宋体" w:hAnsi="宋体" w:eastAsia="宋体" w:cs="宋体"/>
          <w:b w:val="0"/>
          <w:i w:val="0"/>
          <w:caps w:val="0"/>
          <w:color w:val="333333"/>
          <w:spacing w:val="0"/>
          <w:sz w:val="24"/>
          <w:szCs w:val="24"/>
          <w:bdr w:val="none" w:color="auto" w:sz="0" w:space="0"/>
          <w:shd w:val="clear" w:fill="FFFFFF"/>
        </w:rPr>
        <w:br w:type="textWrapping"/>
      </w:r>
      <w:r>
        <w:rPr>
          <w:rFonts w:hint="eastAsia" w:ascii="宋体" w:hAnsi="宋体" w:eastAsia="宋体" w:cs="宋体"/>
          <w:b w:val="0"/>
          <w:i w:val="0"/>
          <w:caps w:val="0"/>
          <w:color w:val="333333"/>
          <w:spacing w:val="0"/>
          <w:sz w:val="24"/>
          <w:szCs w:val="24"/>
          <w:bdr w:val="none" w:color="auto" w:sz="0" w:space="0"/>
          <w:shd w:val="clear" w:fill="FFFFFF"/>
        </w:rPr>
        <w:t>　　（二）提供金融服务。积极利用小额贷款等方式，加大对社会公益性机构的信贷支持力度。引导银行业机构等金融部门对具有借款资质的慈善组织提供信贷支持，满足慈善组织合理信贷需求。鼓励银行业机构根据慈善组织特点，提供“量体裁衣”式金融产品和创新服务。积极拓宽融资渠道，引导金融资本支持慈善事业健康发展。</w:t>
      </w:r>
      <w:r>
        <w:rPr>
          <w:rFonts w:hint="eastAsia" w:ascii="宋体" w:hAnsi="宋体" w:eastAsia="宋体" w:cs="宋体"/>
          <w:b w:val="0"/>
          <w:i w:val="0"/>
          <w:caps w:val="0"/>
          <w:color w:val="333333"/>
          <w:spacing w:val="0"/>
          <w:sz w:val="24"/>
          <w:szCs w:val="24"/>
          <w:bdr w:val="none" w:color="auto" w:sz="0" w:space="0"/>
          <w:shd w:val="clear" w:fill="FFFFFF"/>
        </w:rPr>
        <w:br w:type="textWrapping"/>
      </w:r>
      <w:r>
        <w:rPr>
          <w:rFonts w:hint="eastAsia" w:ascii="宋体" w:hAnsi="宋体" w:eastAsia="宋体" w:cs="宋体"/>
          <w:b w:val="0"/>
          <w:i w:val="0"/>
          <w:caps w:val="0"/>
          <w:color w:val="333333"/>
          <w:spacing w:val="0"/>
          <w:sz w:val="24"/>
          <w:szCs w:val="24"/>
          <w:bdr w:val="none" w:color="auto" w:sz="0" w:space="0"/>
          <w:shd w:val="clear" w:fill="FFFFFF"/>
        </w:rPr>
        <w:t>　　（三）加大资金支持。各级人民政府和社会力量可通过实施公益创投等方式，为初创期慈善组织提供资金支持和能力建设服务。要以扶贫济困为重点，通过项目资助、合同委托、社会招标等方式，加大政府财政资金向慈善组织购买服务力度。</w:t>
      </w:r>
      <w:r>
        <w:rPr>
          <w:rFonts w:hint="eastAsia" w:ascii="宋体" w:hAnsi="宋体" w:eastAsia="宋体" w:cs="宋体"/>
          <w:b w:val="0"/>
          <w:i w:val="0"/>
          <w:caps w:val="0"/>
          <w:color w:val="333333"/>
          <w:spacing w:val="0"/>
          <w:sz w:val="24"/>
          <w:szCs w:val="24"/>
          <w:bdr w:val="none" w:color="auto" w:sz="0" w:space="0"/>
          <w:shd w:val="clear" w:fill="FFFFFF"/>
        </w:rPr>
        <w:br w:type="textWrapping"/>
      </w:r>
      <w:r>
        <w:rPr>
          <w:rFonts w:hint="eastAsia" w:ascii="宋体" w:hAnsi="宋体" w:eastAsia="宋体" w:cs="宋体"/>
          <w:b w:val="0"/>
          <w:i w:val="0"/>
          <w:caps w:val="0"/>
          <w:color w:val="333333"/>
          <w:spacing w:val="0"/>
          <w:sz w:val="24"/>
          <w:szCs w:val="24"/>
          <w:bdr w:val="none" w:color="auto" w:sz="0" w:space="0"/>
          <w:shd w:val="clear" w:fill="FFFFFF"/>
        </w:rPr>
        <w:t>　　（四）大力宣传表彰。加大宣传力度。充分利用报刊、广播、电视等媒体和互联网，以群众喜闻乐见的方式，大力宣传各类慈行善举和正面典型。鼓励新闻媒体为慈善组织的活动开展和信息公开提供帮助支持和费用优惠。着力推动慈善文化进机关、进企业、进学校、进社区、进乡村，弘扬中华民族团结友爱、互助共济的传统美德，为慈善事业发展营造良好社会氛围。</w:t>
      </w:r>
      <w:r>
        <w:rPr>
          <w:rFonts w:hint="eastAsia" w:ascii="宋体" w:hAnsi="宋体" w:eastAsia="宋体" w:cs="宋体"/>
          <w:b w:val="0"/>
          <w:i w:val="0"/>
          <w:caps w:val="0"/>
          <w:color w:val="333333"/>
          <w:spacing w:val="0"/>
          <w:sz w:val="24"/>
          <w:szCs w:val="24"/>
          <w:bdr w:val="none" w:color="auto" w:sz="0" w:space="0"/>
          <w:shd w:val="clear" w:fill="FFFFFF"/>
        </w:rPr>
        <w:br w:type="textWrapping"/>
      </w:r>
      <w:r>
        <w:rPr>
          <w:rFonts w:hint="eastAsia" w:ascii="宋体" w:hAnsi="宋体" w:eastAsia="宋体" w:cs="宋体"/>
          <w:b w:val="0"/>
          <w:i w:val="0"/>
          <w:caps w:val="0"/>
          <w:color w:val="333333"/>
          <w:spacing w:val="0"/>
          <w:sz w:val="24"/>
          <w:szCs w:val="24"/>
          <w:bdr w:val="none" w:color="auto" w:sz="0" w:space="0"/>
          <w:shd w:val="clear" w:fill="FFFFFF"/>
        </w:rPr>
        <w:t>　　完善慈善表彰奖励制度。市政府对为我市慈善事业发展做出突出贡献、社会影响较大的个人、法人或组织，按照国家有关规定予以表彰奖励。对慈善事业做出突出贡献的个人、法人或组织，各级人民政府及其有关部门应当从政策、资金和宣传等方面提供优先支持和服务。</w:t>
      </w:r>
      <w:r>
        <w:rPr>
          <w:rFonts w:hint="eastAsia" w:ascii="宋体" w:hAnsi="宋体" w:eastAsia="宋体" w:cs="宋体"/>
          <w:b w:val="0"/>
          <w:i w:val="0"/>
          <w:caps w:val="0"/>
          <w:color w:val="333333"/>
          <w:spacing w:val="0"/>
          <w:sz w:val="24"/>
          <w:szCs w:val="24"/>
          <w:bdr w:val="none" w:color="auto" w:sz="0" w:space="0"/>
          <w:shd w:val="clear" w:fill="FFFFFF"/>
        </w:rPr>
        <w:br w:type="textWrapping"/>
      </w:r>
      <w:r>
        <w:rPr>
          <w:rFonts w:hint="eastAsia" w:ascii="宋体" w:hAnsi="宋体" w:eastAsia="宋体" w:cs="宋体"/>
          <w:b w:val="0"/>
          <w:i w:val="0"/>
          <w:caps w:val="0"/>
          <w:color w:val="333333"/>
          <w:spacing w:val="0"/>
          <w:sz w:val="24"/>
          <w:szCs w:val="24"/>
          <w:bdr w:val="none" w:color="auto" w:sz="0" w:space="0"/>
          <w:shd w:val="clear" w:fill="FFFFFF"/>
        </w:rPr>
        <w:t>　　（五）强化人才保障。对开设慈善相关专业的高等院校和中等职业学校在招生计划安排、师资培训、学生奖励、就业保障和实践基地建设等方面予以倾斜支持。提升慈善从业人员整体素质。逐步建立健全以慈善从业人员职称评定、信用记录、社会保险等为主要内容的人力资源管理体系，合理确定慈善从业人员工资待遇水平。</w:t>
      </w:r>
      <w:r>
        <w:rPr>
          <w:rFonts w:hint="eastAsia" w:ascii="宋体" w:hAnsi="宋体" w:eastAsia="宋体" w:cs="宋体"/>
          <w:b w:val="0"/>
          <w:i w:val="0"/>
          <w:caps w:val="0"/>
          <w:color w:val="333333"/>
          <w:spacing w:val="0"/>
          <w:sz w:val="24"/>
          <w:szCs w:val="24"/>
          <w:bdr w:val="none" w:color="auto" w:sz="0" w:space="0"/>
          <w:shd w:val="clear" w:fill="FFFFFF"/>
        </w:rPr>
        <w:br w:type="textWrapping"/>
      </w:r>
      <w:r>
        <w:rPr>
          <w:rFonts w:hint="eastAsia" w:ascii="宋体" w:hAnsi="宋体" w:eastAsia="宋体" w:cs="宋体"/>
          <w:b w:val="0"/>
          <w:i w:val="0"/>
          <w:caps w:val="0"/>
          <w:color w:val="333333"/>
          <w:spacing w:val="0"/>
          <w:sz w:val="24"/>
          <w:szCs w:val="24"/>
          <w:bdr w:val="none" w:color="auto" w:sz="0" w:space="0"/>
          <w:shd w:val="clear" w:fill="FFFFFF"/>
        </w:rPr>
        <w:t>　　四、保障机制</w:t>
      </w:r>
      <w:r>
        <w:rPr>
          <w:rFonts w:hint="eastAsia" w:ascii="宋体" w:hAnsi="宋体" w:eastAsia="宋体" w:cs="宋体"/>
          <w:b w:val="0"/>
          <w:i w:val="0"/>
          <w:caps w:val="0"/>
          <w:color w:val="333333"/>
          <w:spacing w:val="0"/>
          <w:sz w:val="24"/>
          <w:szCs w:val="24"/>
          <w:bdr w:val="none" w:color="auto" w:sz="0" w:space="0"/>
          <w:shd w:val="clear" w:fill="FFFFFF"/>
        </w:rPr>
        <w:br w:type="textWrapping"/>
      </w:r>
      <w:r>
        <w:rPr>
          <w:rFonts w:hint="eastAsia" w:ascii="宋体" w:hAnsi="宋体" w:eastAsia="宋体" w:cs="宋体"/>
          <w:b w:val="0"/>
          <w:i w:val="0"/>
          <w:caps w:val="0"/>
          <w:color w:val="333333"/>
          <w:spacing w:val="0"/>
          <w:sz w:val="24"/>
          <w:szCs w:val="24"/>
          <w:bdr w:val="none" w:color="auto" w:sz="0" w:space="0"/>
          <w:shd w:val="clear" w:fill="FFFFFF"/>
        </w:rPr>
        <w:t>　　（一）加强组织领导。各级人民政府要高度重视和大力发展慈善事业，充分发挥其在参与民生保障、调节收入分配、解决社会问题等方面的重要作用。要将发展慈善事业作为社会建设的重要内容，纳入国民经济和社会发展总体规划和相关专项规划。加强慈善与社会救助、社会福利、社会保障等制度的衔接。强化县（区）、乡（镇）人民政府管理慈善工作的职能，充实加强慈善工作力量。</w:t>
      </w:r>
      <w:r>
        <w:rPr>
          <w:rFonts w:hint="eastAsia" w:ascii="宋体" w:hAnsi="宋体" w:eastAsia="宋体" w:cs="宋体"/>
          <w:b w:val="0"/>
          <w:i w:val="0"/>
          <w:caps w:val="0"/>
          <w:color w:val="333333"/>
          <w:spacing w:val="0"/>
          <w:sz w:val="24"/>
          <w:szCs w:val="24"/>
          <w:bdr w:val="none" w:color="auto" w:sz="0" w:space="0"/>
          <w:shd w:val="clear" w:fill="FFFFFF"/>
        </w:rPr>
        <w:br w:type="textWrapping"/>
      </w:r>
      <w:r>
        <w:rPr>
          <w:rFonts w:hint="eastAsia" w:ascii="宋体" w:hAnsi="宋体" w:eastAsia="宋体" w:cs="宋体"/>
          <w:b w:val="0"/>
          <w:i w:val="0"/>
          <w:caps w:val="0"/>
          <w:color w:val="333333"/>
          <w:spacing w:val="0"/>
          <w:sz w:val="24"/>
          <w:szCs w:val="24"/>
          <w:bdr w:val="none" w:color="auto" w:sz="0" w:space="0"/>
          <w:shd w:val="clear" w:fill="FFFFFF"/>
        </w:rPr>
        <w:t>　　（二）明确部门职责。民政部门作为慈善工作主管部门，要履行促进慈善事业发展、监督管理、行业规范、业务指导等职责。有关部门要按照职能职责和任务分工，加强沟通、密切配合，抓好协调督导，合力推进慈善事业建设。</w:t>
      </w:r>
      <w:r>
        <w:rPr>
          <w:rFonts w:hint="eastAsia" w:ascii="宋体" w:hAnsi="宋体" w:eastAsia="宋体" w:cs="宋体"/>
          <w:b w:val="0"/>
          <w:i w:val="0"/>
          <w:caps w:val="0"/>
          <w:color w:val="333333"/>
          <w:spacing w:val="0"/>
          <w:sz w:val="24"/>
          <w:szCs w:val="24"/>
          <w:bdr w:val="none" w:color="auto" w:sz="0" w:space="0"/>
          <w:shd w:val="clear" w:fill="FFFFFF"/>
        </w:rPr>
        <w:br w:type="textWrapping"/>
      </w:r>
      <w:r>
        <w:rPr>
          <w:rFonts w:hint="eastAsia" w:ascii="宋体" w:hAnsi="宋体" w:eastAsia="宋体" w:cs="宋体"/>
          <w:b w:val="0"/>
          <w:i w:val="0"/>
          <w:caps w:val="0"/>
          <w:color w:val="333333"/>
          <w:spacing w:val="0"/>
          <w:sz w:val="24"/>
          <w:szCs w:val="24"/>
          <w:bdr w:val="none" w:color="auto" w:sz="0" w:space="0"/>
          <w:shd w:val="clear" w:fill="FFFFFF"/>
        </w:rPr>
        <w:t>　　（三）加强督促检查。要强化对加快发展慈善事业的督促检查，确保责任落实、工作落实。市级相关部门要按照本部门职责、重点任务分工及进度要求，细化措施抓好落实。民政部门要会同有关部门加强对本意见执行情况的监督检查，及时向市政府报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righ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　　</w:t>
      </w: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br w:type="textWrapping"/>
      </w: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br w:type="textWrapping"/>
      </w: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br w:type="textWrapping"/>
      </w: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br w:type="textWrapping"/>
      </w: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内江市人民政府                                                                           </w:t>
      </w: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br w:type="textWrapping"/>
      </w: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　　2016年3月7日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80" w:lineRule="atLeast"/>
        <w:ind w:left="0" w:right="0" w:firstLine="0"/>
        <w:jc w:val="both"/>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br w:type="textWrapping"/>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333333"/>
          <w:spacing w:val="0"/>
          <w:sz w:val="24"/>
          <w:szCs w:val="24"/>
          <w:bdr w:val="none" w:color="auto" w:sz="0" w:space="0"/>
          <w:shd w:val="clear" w:fill="FFFFFF"/>
        </w:rPr>
        <w:t>附件</w:t>
      </w:r>
    </w:p>
    <w:tbl>
      <w:tblPr>
        <w:tblW w:w="9000" w:type="dxa"/>
        <w:jc w:val="center"/>
        <w:tblInd w:w="-347" w:type="dxa"/>
        <w:shd w:val="clear"/>
        <w:tblLayout w:type="fixed"/>
        <w:tblCellMar>
          <w:top w:w="0" w:type="dxa"/>
          <w:left w:w="0" w:type="dxa"/>
          <w:bottom w:w="0" w:type="dxa"/>
          <w:right w:w="0" w:type="dxa"/>
        </w:tblCellMar>
      </w:tblPr>
      <w:tblGrid>
        <w:gridCol w:w="540"/>
        <w:gridCol w:w="3690"/>
        <w:gridCol w:w="2970"/>
        <w:gridCol w:w="1800"/>
      </w:tblGrid>
      <w:tr>
        <w:tblPrEx>
          <w:shd w:val="clear"/>
          <w:tblLayout w:type="fixed"/>
          <w:tblCellMar>
            <w:top w:w="0" w:type="dxa"/>
            <w:left w:w="0" w:type="dxa"/>
            <w:bottom w:w="0" w:type="dxa"/>
            <w:right w:w="0" w:type="dxa"/>
          </w:tblCellMar>
        </w:tblPrEx>
        <w:trPr>
          <w:jc w:val="center"/>
        </w:trPr>
        <w:tc>
          <w:tcPr>
            <w:tcW w:w="9000" w:type="dxa"/>
            <w:gridSpan w:val="4"/>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重点任务分工及进度安排表</w:t>
            </w:r>
          </w:p>
        </w:tc>
      </w:tr>
      <w:tr>
        <w:tblPrEx>
          <w:tblLayout w:type="fixed"/>
          <w:tblCellMar>
            <w:top w:w="0" w:type="dxa"/>
            <w:left w:w="0" w:type="dxa"/>
            <w:bottom w:w="0" w:type="dxa"/>
            <w:right w:w="0" w:type="dxa"/>
          </w:tblCellMar>
        </w:tblPrEx>
        <w:trPr>
          <w:jc w:val="center"/>
        </w:trPr>
        <w:tc>
          <w:tcPr>
            <w:tcW w:w="5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序号</w:t>
            </w:r>
          </w:p>
        </w:tc>
        <w:tc>
          <w:tcPr>
            <w:tcW w:w="369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工作任务</w:t>
            </w:r>
          </w:p>
        </w:tc>
        <w:tc>
          <w:tcPr>
            <w:tcW w:w="297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责任单位</w:t>
            </w:r>
          </w:p>
        </w:tc>
        <w:tc>
          <w:tcPr>
            <w:tcW w:w="180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时间进度</w:t>
            </w:r>
          </w:p>
        </w:tc>
      </w:tr>
      <w:tr>
        <w:tblPrEx>
          <w:shd w:val="clear"/>
          <w:tblLayout w:type="fixed"/>
          <w:tblCellMar>
            <w:top w:w="0" w:type="dxa"/>
            <w:left w:w="0" w:type="dxa"/>
            <w:bottom w:w="0" w:type="dxa"/>
            <w:right w:w="0" w:type="dxa"/>
          </w:tblCellMar>
        </w:tblPrEx>
        <w:trPr>
          <w:jc w:val="center"/>
        </w:trPr>
        <w:tc>
          <w:tcPr>
            <w:tcW w:w="5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369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探索捐赠知识产权收益、技术、股权、有价证券等新型捐赠方式</w:t>
            </w:r>
          </w:p>
        </w:tc>
        <w:tc>
          <w:tcPr>
            <w:tcW w:w="297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市民政局、市地税局、市国税局、市政府金融办、市科学技术和知识产权局、市财政局</w:t>
            </w:r>
          </w:p>
        </w:tc>
        <w:tc>
          <w:tcPr>
            <w:tcW w:w="180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2016年7月底前出台实施意见</w:t>
            </w:r>
          </w:p>
        </w:tc>
      </w:tr>
      <w:tr>
        <w:tblPrEx>
          <w:tblLayout w:type="fixed"/>
          <w:tblCellMar>
            <w:top w:w="0" w:type="dxa"/>
            <w:left w:w="0" w:type="dxa"/>
            <w:bottom w:w="0" w:type="dxa"/>
            <w:right w:w="0" w:type="dxa"/>
          </w:tblCellMar>
        </w:tblPrEx>
        <w:trPr>
          <w:jc w:val="center"/>
        </w:trPr>
        <w:tc>
          <w:tcPr>
            <w:tcW w:w="5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w:t>
            </w:r>
          </w:p>
        </w:tc>
        <w:tc>
          <w:tcPr>
            <w:tcW w:w="369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鼓励设立慈善信托</w:t>
            </w:r>
          </w:p>
        </w:tc>
        <w:tc>
          <w:tcPr>
            <w:tcW w:w="297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市民政局、市政府金融办</w:t>
            </w:r>
          </w:p>
        </w:tc>
        <w:tc>
          <w:tcPr>
            <w:tcW w:w="180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2016年7月底前启动试点</w:t>
            </w:r>
          </w:p>
        </w:tc>
      </w:tr>
      <w:tr>
        <w:tblPrEx>
          <w:tblLayout w:type="fixed"/>
          <w:tblCellMar>
            <w:top w:w="0" w:type="dxa"/>
            <w:left w:w="0" w:type="dxa"/>
            <w:bottom w:w="0" w:type="dxa"/>
            <w:right w:w="0" w:type="dxa"/>
          </w:tblCellMar>
        </w:tblPrEx>
        <w:trPr>
          <w:jc w:val="center"/>
        </w:trPr>
        <w:tc>
          <w:tcPr>
            <w:tcW w:w="5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w:t>
            </w:r>
          </w:p>
        </w:tc>
        <w:tc>
          <w:tcPr>
            <w:tcW w:w="369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动员社会公众积极参与志愿服务、推进志愿者信息平台建设，构建形式多样、内容丰富、机制健全、覆盖城乡的志愿服务体系</w:t>
            </w:r>
          </w:p>
        </w:tc>
        <w:tc>
          <w:tcPr>
            <w:tcW w:w="297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市文明办、市民政局、市总工会、团市委、市妇联</w:t>
            </w:r>
          </w:p>
        </w:tc>
        <w:tc>
          <w:tcPr>
            <w:tcW w:w="180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2016年7月底前出台实施意见</w:t>
            </w:r>
          </w:p>
        </w:tc>
      </w:tr>
      <w:tr>
        <w:tblPrEx>
          <w:tblLayout w:type="fixed"/>
          <w:tblCellMar>
            <w:top w:w="0" w:type="dxa"/>
            <w:left w:w="0" w:type="dxa"/>
            <w:bottom w:w="0" w:type="dxa"/>
            <w:right w:w="0" w:type="dxa"/>
          </w:tblCellMar>
        </w:tblPrEx>
        <w:trPr>
          <w:jc w:val="center"/>
        </w:trPr>
        <w:tc>
          <w:tcPr>
            <w:tcW w:w="5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4</w:t>
            </w:r>
          </w:p>
        </w:tc>
        <w:tc>
          <w:tcPr>
            <w:tcW w:w="369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广泛设立社会捐助站点，创新发展慈善超市。引导社会公众积极捐赠家庭闲置物品，发挥网络捐赠技术优势，方便群众就近就便开展捐赠</w:t>
            </w:r>
          </w:p>
        </w:tc>
        <w:tc>
          <w:tcPr>
            <w:tcW w:w="297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市民政局、市发展改革委</w:t>
            </w:r>
          </w:p>
        </w:tc>
        <w:tc>
          <w:tcPr>
            <w:tcW w:w="180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2016年7月底前出台实施意见</w:t>
            </w:r>
          </w:p>
        </w:tc>
      </w:tr>
      <w:tr>
        <w:tblPrEx>
          <w:tblLayout w:type="fixed"/>
          <w:tblCellMar>
            <w:top w:w="0" w:type="dxa"/>
            <w:left w:w="0" w:type="dxa"/>
            <w:bottom w:w="0" w:type="dxa"/>
            <w:right w:w="0" w:type="dxa"/>
          </w:tblCellMar>
        </w:tblPrEx>
        <w:trPr>
          <w:jc w:val="center"/>
        </w:trPr>
        <w:tc>
          <w:tcPr>
            <w:tcW w:w="5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5</w:t>
            </w:r>
          </w:p>
        </w:tc>
        <w:tc>
          <w:tcPr>
            <w:tcW w:w="369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以低保信息化建设为基础，加快推进民政与医疗、教育、住房等救助信息的互联互通</w:t>
            </w:r>
          </w:p>
        </w:tc>
        <w:tc>
          <w:tcPr>
            <w:tcW w:w="297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市民政局、市教育局、市卫生计生委、市住房城乡建设局、市人力资源社会保障局</w:t>
            </w:r>
          </w:p>
        </w:tc>
        <w:tc>
          <w:tcPr>
            <w:tcW w:w="180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持续实施</w:t>
            </w:r>
          </w:p>
        </w:tc>
      </w:tr>
      <w:tr>
        <w:tblPrEx>
          <w:tblLayout w:type="fixed"/>
          <w:tblCellMar>
            <w:top w:w="0" w:type="dxa"/>
            <w:left w:w="0" w:type="dxa"/>
            <w:bottom w:w="0" w:type="dxa"/>
            <w:right w:w="0" w:type="dxa"/>
          </w:tblCellMar>
        </w:tblPrEx>
        <w:trPr>
          <w:jc w:val="center"/>
        </w:trPr>
        <w:tc>
          <w:tcPr>
            <w:tcW w:w="5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w:t>
            </w:r>
          </w:p>
        </w:tc>
        <w:tc>
          <w:tcPr>
            <w:tcW w:w="369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落实企业和个人公益性捐赠所得税税前扣除政策，对境外向我国境内依法设立的慈善组织无偿捐赠的直接用于慈善事业的物资，在有关法律及政策规定范围内享受进口税收优惠，简化办事程序，方便捐赠人办理有关减免税手续</w:t>
            </w:r>
          </w:p>
        </w:tc>
        <w:tc>
          <w:tcPr>
            <w:tcW w:w="297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市财政局、市地税局、市国税局</w:t>
            </w:r>
          </w:p>
        </w:tc>
        <w:tc>
          <w:tcPr>
            <w:tcW w:w="180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持续实施</w:t>
            </w:r>
          </w:p>
        </w:tc>
      </w:tr>
      <w:tr>
        <w:tblPrEx>
          <w:tblLayout w:type="fixed"/>
          <w:tblCellMar>
            <w:top w:w="0" w:type="dxa"/>
            <w:left w:w="0" w:type="dxa"/>
            <w:bottom w:w="0" w:type="dxa"/>
            <w:right w:w="0" w:type="dxa"/>
          </w:tblCellMar>
        </w:tblPrEx>
        <w:trPr>
          <w:jc w:val="center"/>
        </w:trPr>
        <w:tc>
          <w:tcPr>
            <w:tcW w:w="5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7</w:t>
            </w:r>
          </w:p>
        </w:tc>
        <w:tc>
          <w:tcPr>
            <w:tcW w:w="369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引导银行业机构等金融部门对具有借款资质的慈善组织提供信贷支持，鼓励银行业机构提供慈善金融产品和创新服务。</w:t>
            </w:r>
          </w:p>
        </w:tc>
        <w:tc>
          <w:tcPr>
            <w:tcW w:w="297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人行内江市中心支行、市政府金融办</w:t>
            </w:r>
          </w:p>
        </w:tc>
        <w:tc>
          <w:tcPr>
            <w:tcW w:w="180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持续实施</w:t>
            </w:r>
          </w:p>
        </w:tc>
      </w:tr>
      <w:tr>
        <w:tblPrEx>
          <w:tblLayout w:type="fixed"/>
          <w:tblCellMar>
            <w:top w:w="0" w:type="dxa"/>
            <w:left w:w="0" w:type="dxa"/>
            <w:bottom w:w="0" w:type="dxa"/>
            <w:right w:w="0" w:type="dxa"/>
          </w:tblCellMar>
        </w:tblPrEx>
        <w:trPr>
          <w:jc w:val="center"/>
        </w:trPr>
        <w:tc>
          <w:tcPr>
            <w:tcW w:w="5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8</w:t>
            </w:r>
          </w:p>
        </w:tc>
        <w:tc>
          <w:tcPr>
            <w:tcW w:w="369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以扶贫济困为重点，加大政府财政资金向慈善组织购买服务力度</w:t>
            </w:r>
          </w:p>
        </w:tc>
        <w:tc>
          <w:tcPr>
            <w:tcW w:w="297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市财政局、市民政局等</w:t>
            </w:r>
          </w:p>
        </w:tc>
        <w:tc>
          <w:tcPr>
            <w:tcW w:w="180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持续实施</w:t>
            </w:r>
          </w:p>
        </w:tc>
      </w:tr>
      <w:tr>
        <w:tblPrEx>
          <w:shd w:val="clear"/>
          <w:tblLayout w:type="fixed"/>
          <w:tblCellMar>
            <w:top w:w="0" w:type="dxa"/>
            <w:left w:w="0" w:type="dxa"/>
            <w:bottom w:w="0" w:type="dxa"/>
            <w:right w:w="0" w:type="dxa"/>
          </w:tblCellMar>
        </w:tblPrEx>
        <w:trPr>
          <w:jc w:val="center"/>
        </w:trPr>
        <w:tc>
          <w:tcPr>
            <w:tcW w:w="5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9</w:t>
            </w:r>
          </w:p>
        </w:tc>
        <w:tc>
          <w:tcPr>
            <w:tcW w:w="369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报刊、广播、电视及互联网信息服务提供者、电信运营商，对利用其平台发起募捐活动的慈善组织的合法性进行验证</w:t>
            </w:r>
          </w:p>
        </w:tc>
        <w:tc>
          <w:tcPr>
            <w:tcW w:w="297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市民政局、市经济和信息化委、市网信办、市文化广电新闻出版局</w:t>
            </w:r>
          </w:p>
        </w:tc>
        <w:tc>
          <w:tcPr>
            <w:tcW w:w="180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2016年7月底前出台实施意见</w:t>
            </w:r>
          </w:p>
        </w:tc>
      </w:tr>
      <w:tr>
        <w:tblPrEx>
          <w:shd w:val="clear"/>
          <w:tblLayout w:type="fixed"/>
          <w:tblCellMar>
            <w:top w:w="0" w:type="dxa"/>
            <w:left w:w="0" w:type="dxa"/>
            <w:bottom w:w="0" w:type="dxa"/>
            <w:right w:w="0" w:type="dxa"/>
          </w:tblCellMar>
        </w:tblPrEx>
        <w:trPr>
          <w:jc w:val="center"/>
        </w:trPr>
        <w:tc>
          <w:tcPr>
            <w:tcW w:w="5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10</w:t>
            </w:r>
          </w:p>
        </w:tc>
        <w:tc>
          <w:tcPr>
            <w:tcW w:w="369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培育和规范各类慈善组织，鼓励慈善组织差异化、专业化发展</w:t>
            </w:r>
          </w:p>
        </w:tc>
        <w:tc>
          <w:tcPr>
            <w:tcW w:w="297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市民政局</w:t>
            </w:r>
          </w:p>
        </w:tc>
        <w:tc>
          <w:tcPr>
            <w:tcW w:w="180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持续实施</w:t>
            </w:r>
          </w:p>
        </w:tc>
      </w:tr>
      <w:tr>
        <w:tblPrEx>
          <w:tblLayout w:type="fixed"/>
          <w:tblCellMar>
            <w:top w:w="0" w:type="dxa"/>
            <w:left w:w="0" w:type="dxa"/>
            <w:bottom w:w="0" w:type="dxa"/>
            <w:right w:w="0" w:type="dxa"/>
          </w:tblCellMar>
        </w:tblPrEx>
        <w:trPr>
          <w:jc w:val="center"/>
        </w:trPr>
        <w:tc>
          <w:tcPr>
            <w:tcW w:w="5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11</w:t>
            </w:r>
          </w:p>
        </w:tc>
        <w:tc>
          <w:tcPr>
            <w:tcW w:w="369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鼓励新闻媒体为慈善组织的活动开展和信息公开提供帮助支持和费用优惠</w:t>
            </w:r>
          </w:p>
        </w:tc>
        <w:tc>
          <w:tcPr>
            <w:tcW w:w="297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市委宣传部、市文化广电新闻出版局、市工商局、市网信办</w:t>
            </w:r>
          </w:p>
        </w:tc>
        <w:tc>
          <w:tcPr>
            <w:tcW w:w="180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2016年7月底前出台实施意见</w:t>
            </w:r>
          </w:p>
        </w:tc>
      </w:tr>
      <w:tr>
        <w:tblPrEx>
          <w:tblLayout w:type="fixed"/>
          <w:tblCellMar>
            <w:top w:w="0" w:type="dxa"/>
            <w:left w:w="0" w:type="dxa"/>
            <w:bottom w:w="0" w:type="dxa"/>
            <w:right w:w="0" w:type="dxa"/>
          </w:tblCellMar>
        </w:tblPrEx>
        <w:trPr>
          <w:jc w:val="center"/>
        </w:trPr>
        <w:tc>
          <w:tcPr>
            <w:tcW w:w="5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12</w:t>
            </w:r>
          </w:p>
        </w:tc>
        <w:tc>
          <w:tcPr>
            <w:tcW w:w="369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建立健全责任追究制度，对慈善组织的违法违规行为，其他社会组织和个人以慈善为名组织实施的违法违规行为，政府有关部门及其工作人员违法违规行为等依法进行查处并追究责任</w:t>
            </w:r>
          </w:p>
        </w:tc>
        <w:tc>
          <w:tcPr>
            <w:tcW w:w="297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市民政局、市公安局、内江国安局、市外事侨务旅游局、市人力资源社会保障局</w:t>
            </w:r>
          </w:p>
        </w:tc>
        <w:tc>
          <w:tcPr>
            <w:tcW w:w="180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持续实施</w:t>
            </w:r>
          </w:p>
        </w:tc>
      </w:tr>
      <w:tr>
        <w:tblPrEx>
          <w:tblLayout w:type="fixed"/>
          <w:tblCellMar>
            <w:top w:w="0" w:type="dxa"/>
            <w:left w:w="0" w:type="dxa"/>
            <w:bottom w:w="0" w:type="dxa"/>
            <w:right w:w="0" w:type="dxa"/>
          </w:tblCellMar>
        </w:tblPrEx>
        <w:trPr>
          <w:jc w:val="center"/>
        </w:trPr>
        <w:tc>
          <w:tcPr>
            <w:tcW w:w="5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13</w:t>
            </w:r>
          </w:p>
        </w:tc>
        <w:tc>
          <w:tcPr>
            <w:tcW w:w="369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完善公民志愿服务记录制度，按照国家有关规定建立完善志愿者嘉许和回馈制度</w:t>
            </w:r>
          </w:p>
        </w:tc>
        <w:tc>
          <w:tcPr>
            <w:tcW w:w="297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市文明办、市民政局、团市委、市老龄办</w:t>
            </w:r>
          </w:p>
        </w:tc>
        <w:tc>
          <w:tcPr>
            <w:tcW w:w="180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持续实施</w:t>
            </w:r>
          </w:p>
        </w:tc>
      </w:tr>
      <w:tr>
        <w:tblPrEx>
          <w:tblLayout w:type="fixed"/>
          <w:tblCellMar>
            <w:top w:w="0" w:type="dxa"/>
            <w:left w:w="0" w:type="dxa"/>
            <w:bottom w:w="0" w:type="dxa"/>
            <w:right w:w="0" w:type="dxa"/>
          </w:tblCellMar>
        </w:tblPrEx>
        <w:trPr>
          <w:jc w:val="center"/>
        </w:trPr>
        <w:tc>
          <w:tcPr>
            <w:tcW w:w="5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14</w:t>
            </w:r>
          </w:p>
        </w:tc>
        <w:tc>
          <w:tcPr>
            <w:tcW w:w="369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强化人才保障</w:t>
            </w:r>
          </w:p>
        </w:tc>
        <w:tc>
          <w:tcPr>
            <w:tcW w:w="297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市教育局、市人力资源社会保障局、市民政局</w:t>
            </w:r>
          </w:p>
        </w:tc>
        <w:tc>
          <w:tcPr>
            <w:tcW w:w="180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2016年7月底前出台实施意见</w:t>
            </w:r>
          </w:p>
        </w:tc>
      </w:tr>
      <w:tr>
        <w:tblPrEx>
          <w:tblLayout w:type="fixed"/>
          <w:tblCellMar>
            <w:top w:w="0" w:type="dxa"/>
            <w:left w:w="0" w:type="dxa"/>
            <w:bottom w:w="0" w:type="dxa"/>
            <w:right w:w="0" w:type="dxa"/>
          </w:tblCellMar>
        </w:tblPrEx>
        <w:trPr>
          <w:jc w:val="center"/>
        </w:trPr>
        <w:tc>
          <w:tcPr>
            <w:tcW w:w="5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15</w:t>
            </w:r>
          </w:p>
        </w:tc>
        <w:tc>
          <w:tcPr>
            <w:tcW w:w="369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加大对慈善工作的宣传力度，为慈善事业发展营造良好社会氛围</w:t>
            </w:r>
          </w:p>
        </w:tc>
        <w:tc>
          <w:tcPr>
            <w:tcW w:w="297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市委宣传部、市文化广电新闻出版局、市老龄办</w:t>
            </w:r>
          </w:p>
        </w:tc>
        <w:tc>
          <w:tcPr>
            <w:tcW w:w="180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持续实施</w:t>
            </w:r>
          </w:p>
        </w:tc>
      </w:tr>
      <w:tr>
        <w:tblPrEx>
          <w:tblLayout w:type="fixed"/>
          <w:tblCellMar>
            <w:top w:w="0" w:type="dxa"/>
            <w:left w:w="0" w:type="dxa"/>
            <w:bottom w:w="0" w:type="dxa"/>
            <w:right w:w="0" w:type="dxa"/>
          </w:tblCellMar>
        </w:tblPrEx>
        <w:trPr>
          <w:jc w:val="center"/>
        </w:trPr>
        <w:tc>
          <w:tcPr>
            <w:tcW w:w="5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16</w:t>
            </w:r>
          </w:p>
        </w:tc>
        <w:tc>
          <w:tcPr>
            <w:tcW w:w="369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各县（区）根据本意见要求，结合实际落实政策</w:t>
            </w:r>
          </w:p>
        </w:tc>
        <w:tc>
          <w:tcPr>
            <w:tcW w:w="297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各县（区）人民政府、内江经开区管委会</w:t>
            </w:r>
          </w:p>
        </w:tc>
        <w:tc>
          <w:tcPr>
            <w:tcW w:w="180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持续实施</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A0000287" w:usb1="28C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A2238F"/>
    <w:rsid w:val="32A2238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2018-05-23T17:42:00Z</dcterms:created>
  <dc:creator>air</dc:creator>
  <cp:lastModifiedBy>air</cp:lastModifiedBy>
  <dcterms:modified xsi:type="dcterms:W3CDTF">2018-05-23T17:43:25Z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2052-10.1.0.6235</vt:lpwstr>
  </property>
</Properties>
</file>