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328" w:rsidRPr="00C01328" w:rsidRDefault="00C01328" w:rsidP="00C01328">
      <w:pPr>
        <w:widowControl/>
        <w:shd w:val="clear" w:color="auto" w:fill="FFFFFF"/>
        <w:spacing w:line="600" w:lineRule="atLeast"/>
        <w:jc w:val="center"/>
        <w:textAlignment w:val="baseline"/>
        <w:rPr>
          <w:rFonts w:ascii="微软雅黑" w:eastAsia="微软雅黑" w:hAnsi="微软雅黑" w:cs="宋体"/>
          <w:color w:val="000000"/>
          <w:kern w:val="0"/>
          <w:sz w:val="30"/>
          <w:szCs w:val="30"/>
        </w:rPr>
      </w:pPr>
      <w:r w:rsidRPr="00C01328">
        <w:rPr>
          <w:rFonts w:ascii="微软雅黑" w:eastAsia="微软雅黑" w:hAnsi="微软雅黑" w:cs="宋体" w:hint="eastAsia"/>
          <w:color w:val="000000"/>
          <w:kern w:val="0"/>
          <w:sz w:val="30"/>
          <w:szCs w:val="30"/>
        </w:rPr>
        <w:t>青冈县电子商务进农村综合示范项目专项资金使用管理办法</w:t>
      </w:r>
    </w:p>
    <w:p w:rsidR="00C01328" w:rsidRPr="00C01328" w:rsidRDefault="00C01328" w:rsidP="00C01328">
      <w:pPr>
        <w:widowControl/>
        <w:shd w:val="clear" w:color="auto" w:fill="FFFFFF"/>
        <w:spacing w:line="600" w:lineRule="atLeast"/>
        <w:jc w:val="center"/>
        <w:textAlignment w:val="baseline"/>
        <w:rPr>
          <w:rFonts w:ascii="微软雅黑" w:eastAsia="微软雅黑" w:hAnsi="微软雅黑" w:cs="宋体" w:hint="eastAsia"/>
          <w:color w:val="666666"/>
          <w:kern w:val="0"/>
          <w:szCs w:val="21"/>
        </w:rPr>
      </w:pPr>
      <w:r w:rsidRPr="00C01328">
        <w:rPr>
          <w:rFonts w:ascii="微软雅黑" w:eastAsia="微软雅黑" w:hAnsi="微软雅黑" w:cs="宋体" w:hint="eastAsia"/>
          <w:color w:val="666666"/>
          <w:kern w:val="0"/>
          <w:szCs w:val="21"/>
          <w:bdr w:val="none" w:sz="0" w:space="0" w:color="auto" w:frame="1"/>
        </w:rPr>
        <w:t>发布日期：2018-04-17</w:t>
      </w:r>
      <w:r w:rsidRPr="00C01328">
        <w:rPr>
          <w:rFonts w:ascii="微软雅黑" w:eastAsia="微软雅黑" w:hAnsi="微软雅黑" w:cs="宋体" w:hint="eastAsia"/>
          <w:color w:val="666666"/>
          <w:kern w:val="0"/>
          <w:szCs w:val="21"/>
        </w:rPr>
        <w:t>        </w:t>
      </w:r>
      <w:r w:rsidRPr="00C01328">
        <w:rPr>
          <w:rFonts w:ascii="微软雅黑" w:eastAsia="微软雅黑" w:hAnsi="微软雅黑" w:cs="宋体" w:hint="eastAsia"/>
          <w:color w:val="666666"/>
          <w:kern w:val="0"/>
          <w:szCs w:val="21"/>
          <w:bdr w:val="none" w:sz="0" w:space="0" w:color="auto" w:frame="1"/>
        </w:rPr>
        <w:t>来源：中国·青冈</w:t>
      </w:r>
      <w:r w:rsidRPr="00C01328">
        <w:rPr>
          <w:rFonts w:ascii="微软雅黑" w:eastAsia="微软雅黑" w:hAnsi="微软雅黑" w:cs="宋体" w:hint="eastAsia"/>
          <w:color w:val="666666"/>
          <w:kern w:val="0"/>
          <w:szCs w:val="21"/>
        </w:rPr>
        <w:t>        </w:t>
      </w:r>
      <w:r w:rsidRPr="00C01328">
        <w:rPr>
          <w:rFonts w:ascii="微软雅黑" w:eastAsia="微软雅黑" w:hAnsi="微软雅黑" w:cs="宋体" w:hint="eastAsia"/>
          <w:color w:val="666666"/>
          <w:kern w:val="0"/>
          <w:szCs w:val="21"/>
          <w:bdr w:val="none" w:sz="0" w:space="0" w:color="auto" w:frame="1"/>
        </w:rPr>
        <w:t>作者：中国·青冈</w:t>
      </w:r>
    </w:p>
    <w:p w:rsidR="00C01328" w:rsidRPr="00C01328" w:rsidRDefault="00C01328" w:rsidP="00C01328">
      <w:pPr>
        <w:widowControl/>
        <w:shd w:val="clear" w:color="auto" w:fill="FFFFFF"/>
        <w:ind w:firstLine="640"/>
        <w:jc w:val="left"/>
        <w:textAlignment w:val="baseline"/>
        <w:rPr>
          <w:rFonts w:ascii="宋体" w:eastAsia="宋体" w:hAnsi="宋体" w:cs="宋体" w:hint="eastAsia"/>
          <w:color w:val="000000"/>
          <w:kern w:val="0"/>
          <w:sz w:val="24"/>
          <w:szCs w:val="24"/>
        </w:rPr>
      </w:pPr>
      <w:r w:rsidRPr="00C01328">
        <w:rPr>
          <w:rFonts w:ascii="宋体" w:eastAsia="宋体" w:hAnsi="宋体" w:cs="宋体"/>
          <w:color w:val="000000"/>
          <w:kern w:val="0"/>
          <w:sz w:val="24"/>
          <w:szCs w:val="24"/>
        </w:rPr>
        <w:t>为加快我县电子商务发展，认真落实省财政厅、省商务厅和省扶贫办的有关要求，扎实有效地开展电子商务进农村综合示范项目建设，规范合理使用中央财政专项支持资金，特制定本办法。</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一、指导思想</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bdr w:val="none" w:sz="0" w:space="0" w:color="auto" w:frame="1"/>
        </w:rPr>
        <w:t>以邓小平理论、</w:t>
      </w:r>
      <w:r w:rsidRPr="00C01328">
        <w:rPr>
          <w:rFonts w:ascii="宋体" w:eastAsia="宋体" w:hAnsi="宋体" w:cs="宋体"/>
          <w:color w:val="000000"/>
          <w:kern w:val="0"/>
          <w:sz w:val="24"/>
          <w:szCs w:val="24"/>
        </w:rPr>
        <w:t>“三个代表”重要思想、习近平总书记系列讲话精神为指导，按照《关于黑龙江省2017年电子商务进农村综合示范工作方案》（黑财经〔2017〕73号）文件精神，切实加强对专项资金的有效管理，确保专项资金安全运行、规范管理、有效使用，建立有效的监督使用工作机制。</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二、重点内容</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我县国家电子商务进农村综合示范项目建设，主要有以下几方面内容：</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（一）县级电子商务公共服务中心建设改造。</w:t>
      </w:r>
      <w:r w:rsidRPr="00C01328">
        <w:rPr>
          <w:rFonts w:ascii="宋体" w:eastAsia="宋体" w:hAnsi="宋体" w:cs="宋体"/>
          <w:color w:val="000000"/>
          <w:kern w:val="0"/>
          <w:sz w:val="24"/>
          <w:szCs w:val="24"/>
        </w:rPr>
        <w:t>县级电子商务公共服务中心，内设七个功能中心（</w:t>
      </w:r>
      <w:r w:rsidRPr="00C01328">
        <w:rPr>
          <w:rFonts w:ascii="宋体" w:eastAsia="宋体" w:hAnsi="宋体" w:cs="宋体"/>
          <w:color w:val="000000"/>
          <w:kern w:val="0"/>
          <w:sz w:val="24"/>
          <w:szCs w:val="24"/>
          <w:bdr w:val="none" w:sz="0" w:space="0" w:color="auto" w:frame="1"/>
        </w:rPr>
        <w:t>电子商务公共服务平台指挥中心、特色农产品展示中心、创业孵化中心、电商培训中心、营销服务中心、</w:t>
      </w:r>
      <w:r w:rsidRPr="00C01328">
        <w:rPr>
          <w:rFonts w:ascii="宋体" w:eastAsia="宋体" w:hAnsi="宋体" w:cs="宋体"/>
          <w:color w:val="000000"/>
          <w:kern w:val="0"/>
          <w:sz w:val="24"/>
          <w:szCs w:val="24"/>
        </w:rPr>
        <w:t>“互联网+</w:t>
      </w:r>
      <w:r w:rsidRPr="00C01328">
        <w:rPr>
          <w:rFonts w:ascii="宋体" w:eastAsia="宋体" w:hAnsi="宋体" w:cs="宋体"/>
          <w:color w:val="000000"/>
          <w:kern w:val="0"/>
          <w:sz w:val="24"/>
          <w:szCs w:val="24"/>
          <w:bdr w:val="none" w:sz="0" w:space="0" w:color="auto" w:frame="1"/>
        </w:rPr>
        <w:t>现代农业</w:t>
      </w:r>
      <w:r w:rsidRPr="00C01328">
        <w:rPr>
          <w:rFonts w:ascii="宋体" w:eastAsia="宋体" w:hAnsi="宋体" w:cs="宋体"/>
          <w:color w:val="000000"/>
          <w:kern w:val="0"/>
          <w:sz w:val="24"/>
          <w:szCs w:val="24"/>
        </w:rPr>
        <w:t>”数据中心、电商体验中心）。项目总投资725万元，其中中央专项扶持资金225万元。</w:t>
      </w:r>
    </w:p>
    <w:p w:rsidR="00C01328" w:rsidRPr="00C01328" w:rsidRDefault="00C01328" w:rsidP="00C01328">
      <w:pPr>
        <w:widowControl/>
        <w:shd w:val="clear" w:color="auto" w:fill="FFFFFF"/>
        <w:ind w:firstLine="643"/>
        <w:textAlignment w:val="baseline"/>
        <w:rPr>
          <w:rFonts w:ascii="微软雅黑" w:eastAsia="微软雅黑" w:hAnsi="微软雅黑" w:cs="宋体"/>
          <w:color w:val="000000"/>
          <w:kern w:val="0"/>
          <w:sz w:val="24"/>
          <w:szCs w:val="24"/>
        </w:rPr>
      </w:pPr>
      <w:r w:rsidRPr="00C01328">
        <w:rPr>
          <w:rFonts w:ascii="微软雅黑" w:eastAsia="微软雅黑" w:hAnsi="微软雅黑" w:cs="宋体" w:hint="eastAsia"/>
          <w:b/>
          <w:bCs/>
          <w:color w:val="000000"/>
          <w:kern w:val="0"/>
          <w:sz w:val="24"/>
          <w:szCs w:val="24"/>
        </w:rPr>
        <w:t>（二）乡镇、村级电子商务服务站点建设改造。</w:t>
      </w:r>
      <w:r w:rsidRPr="00C01328">
        <w:rPr>
          <w:rFonts w:ascii="微软雅黑" w:eastAsia="微软雅黑" w:hAnsi="微软雅黑" w:cs="宋体" w:hint="eastAsia"/>
          <w:color w:val="000000"/>
          <w:kern w:val="0"/>
          <w:sz w:val="24"/>
          <w:szCs w:val="24"/>
          <w:bdr w:val="none" w:sz="0" w:space="0" w:color="auto" w:frame="1"/>
        </w:rPr>
        <w:t>根据各乡镇、村实际情况，优先利用邮政现有的服务网点，建立电子商务综合服务站点，具备线下体验、区域仓储配送和电子商务综合服务功能。为农民提供代收费、代缴费、代购物、代卖货、代投寄、代收件、代存款、代取款、代订票、代咨询等</w:t>
      </w:r>
      <w:r w:rsidRPr="00C01328">
        <w:rPr>
          <w:rFonts w:ascii="微软雅黑" w:eastAsia="微软雅黑" w:hAnsi="微软雅黑" w:cs="宋体" w:hint="eastAsia"/>
          <w:color w:val="000000"/>
          <w:kern w:val="0"/>
          <w:sz w:val="24"/>
          <w:szCs w:val="24"/>
        </w:rPr>
        <w:t>“十代”服务。2018年6月前完成15个乡镇服务站建设，改造70个村级服务站点，新建20个村级服务站点；2019年6月末前完成改造40个村级服务站点，新建20个村级服务站点。项目总投资250万元，其中中央专项扶持资金150万元。</w:t>
      </w:r>
    </w:p>
    <w:p w:rsidR="00C01328" w:rsidRPr="00C01328" w:rsidRDefault="00C01328" w:rsidP="00C01328">
      <w:pPr>
        <w:widowControl/>
        <w:shd w:val="clear" w:color="auto" w:fill="FFFFFF"/>
        <w:ind w:firstLine="643"/>
        <w:jc w:val="left"/>
        <w:textAlignment w:val="baseline"/>
        <w:rPr>
          <w:rFonts w:ascii="宋体" w:eastAsia="宋体" w:hAnsi="宋体" w:cs="宋体" w:hint="eastAsia"/>
          <w:color w:val="000000"/>
          <w:kern w:val="0"/>
          <w:sz w:val="24"/>
          <w:szCs w:val="24"/>
        </w:rPr>
      </w:pPr>
      <w:r w:rsidRPr="00C01328">
        <w:rPr>
          <w:rFonts w:ascii="宋体" w:eastAsia="宋体" w:hAnsi="宋体" w:cs="宋体"/>
          <w:b/>
          <w:bCs/>
          <w:color w:val="000000"/>
          <w:kern w:val="0"/>
          <w:sz w:val="24"/>
          <w:szCs w:val="24"/>
        </w:rPr>
        <w:t>（三）农村物流配送体系建设。</w:t>
      </w:r>
      <w:r w:rsidRPr="00C01328">
        <w:rPr>
          <w:rFonts w:ascii="宋体" w:eastAsia="宋体" w:hAnsi="宋体" w:cs="宋体"/>
          <w:color w:val="000000"/>
          <w:kern w:val="0"/>
          <w:sz w:val="24"/>
          <w:szCs w:val="24"/>
        </w:rPr>
        <w:t>整合青冈县现有快递企业及物流企业。依托县级电子商务公共服务中心和乡镇、村级服务网点，建设和完善农村物流配送体系，范围覆盖全县15个乡镇、165个行政村，保证农民网购商品进村入屯送到家，农民销售的土特产品随产随收进网店，实现商品的品控分拣、打包配送、集采统储、互采分销、统配统送及协调售后服务功能。项目总投资650万元，其中中央专项扶持资金450万元。</w:t>
      </w:r>
    </w:p>
    <w:p w:rsidR="00C01328" w:rsidRPr="00C01328" w:rsidRDefault="00C01328" w:rsidP="00C01328">
      <w:pPr>
        <w:widowControl/>
        <w:shd w:val="clear" w:color="auto" w:fill="FFFFFF"/>
        <w:ind w:firstLine="630"/>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（四）农产品上行保障体系建设。</w:t>
      </w:r>
      <w:r w:rsidRPr="00C01328">
        <w:rPr>
          <w:rFonts w:ascii="宋体" w:eastAsia="宋体" w:hAnsi="宋体" w:cs="宋体"/>
          <w:color w:val="000000"/>
          <w:kern w:val="0"/>
          <w:sz w:val="24"/>
          <w:szCs w:val="24"/>
          <w:bdr w:val="none" w:sz="0" w:space="0" w:color="auto" w:frame="1"/>
        </w:rPr>
        <w:t>深挖本地特色优势产品的特色卖点，重点培育一批县域农村电商品牌进行专业化的品牌包装。从农产品自身标准、质量、包装、认证、检验检疫等方面加强监管，建立互联网数据中心，推广</w:t>
      </w:r>
      <w:r w:rsidRPr="00C01328">
        <w:rPr>
          <w:rFonts w:ascii="宋体" w:eastAsia="宋体" w:hAnsi="宋体" w:cs="宋体"/>
          <w:color w:val="000000"/>
          <w:kern w:val="0"/>
          <w:sz w:val="24"/>
          <w:szCs w:val="24"/>
        </w:rPr>
        <w:t>“互联网+</w:t>
      </w:r>
      <w:r w:rsidRPr="00C01328">
        <w:rPr>
          <w:rFonts w:ascii="宋体" w:eastAsia="宋体" w:hAnsi="宋体" w:cs="宋体"/>
          <w:color w:val="000000"/>
          <w:kern w:val="0"/>
          <w:sz w:val="24"/>
          <w:szCs w:val="24"/>
          <w:bdr w:val="none" w:sz="0" w:space="0" w:color="auto" w:frame="1"/>
        </w:rPr>
        <w:t>现代农业</w:t>
      </w:r>
      <w:r w:rsidRPr="00C01328">
        <w:rPr>
          <w:rFonts w:ascii="宋体" w:eastAsia="宋体" w:hAnsi="宋体" w:cs="宋体"/>
          <w:color w:val="000000"/>
          <w:kern w:val="0"/>
          <w:sz w:val="24"/>
          <w:szCs w:val="24"/>
        </w:rPr>
        <w:t>”全程可追溯绿色有机食品发展新模式，加强农产品的标准化、品牌化建设，做大做强青冈特色品牌。科学制定并完善全县电子商务发展</w:t>
      </w:r>
      <w:r w:rsidRPr="00C01328">
        <w:rPr>
          <w:rFonts w:ascii="宋体" w:eastAsia="宋体" w:hAnsi="宋体" w:cs="宋体"/>
          <w:color w:val="000000"/>
          <w:kern w:val="0"/>
          <w:sz w:val="24"/>
          <w:szCs w:val="24"/>
        </w:rPr>
        <w:lastRenderedPageBreak/>
        <w:t>规划；同时加大宣传力度，打造电商发展县域特色新模式。项目总投资650万元，其中中央专项扶持资金450万元。</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（五）农村电子商务培训体系建设。</w:t>
      </w:r>
      <w:r w:rsidRPr="00C01328">
        <w:rPr>
          <w:rFonts w:ascii="宋体" w:eastAsia="宋体" w:hAnsi="宋体" w:cs="宋体"/>
          <w:color w:val="000000"/>
          <w:kern w:val="0"/>
          <w:sz w:val="24"/>
          <w:szCs w:val="24"/>
        </w:rPr>
        <w:t>以县级电子商务公共服务中心为主要载体，引入专业第三方电子商务培训机构，有计划地组织政府公职人员、企业经营者、农民、大学生参与电子商务运营、操作等培训并建立培训人员档案，同时在网上开展电商基础普及性培训，建立农村青年创业培训机制，针对有电商创业需求的农村青年提供增值培训，针对已培训人员跟踪服务、提供辅导、孵化等定向服务，并定期统计从业及创业人员运营情况。三年内全县累计培训1万人次以上。</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（六）后续项目资金拨付。</w:t>
      </w:r>
      <w:r w:rsidRPr="00C01328">
        <w:rPr>
          <w:rFonts w:ascii="宋体" w:eastAsia="宋体" w:hAnsi="宋体" w:cs="宋体"/>
          <w:color w:val="000000"/>
          <w:kern w:val="0"/>
          <w:sz w:val="24"/>
          <w:szCs w:val="24"/>
        </w:rPr>
        <w:t>青冈县电子商务进农村综合示范项目整体验收合格后，政府拨付承建企业后续国家专项资金500万元，用于县级电子商务公共服务中心的功能完善及质量保障体系建设、物流配送体系、电子商务培训等后续建设。</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三、审核验收和资金拨付</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（一）审核验收。</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选择会计师事务所等专业第三方机构加强项目监管，发现问题及时整改，并上报。县商务局会同财政局、扶贫办定期督促、检查和指导承办企业开展项目建设，及时报送示范工作进展情况，项目完成后及时组织验收并按国家统一要求开展绩效评估工作。</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1.承办企业向县电商领导小组办公室提交项目阶段或整体验收申请及相关材料。</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2.县电商领导小组办公室听取承办企业项目建设情况汇报，审核申报材料，实地踏查每个项目阶段性或整体项目建设完成情况等。依据《黑龙江省2017</w:t>
      </w:r>
      <w:r w:rsidRPr="00C01328">
        <w:rPr>
          <w:rFonts w:ascii="宋体" w:eastAsia="宋体" w:hAnsi="宋体" w:cs="宋体"/>
          <w:color w:val="000000"/>
          <w:kern w:val="0"/>
          <w:sz w:val="24"/>
          <w:szCs w:val="24"/>
          <w:bdr w:val="none" w:sz="0" w:space="0" w:color="auto" w:frame="1"/>
        </w:rPr>
        <w:t>年电子商务进农村综合示范工作方案》和《青冈县电子商务进农村综合示范工作实施方案》对承办企业申报的项目审核验收作出评价，对每个项目给出</w:t>
      </w:r>
      <w:r w:rsidRPr="00C01328">
        <w:rPr>
          <w:rFonts w:ascii="宋体" w:eastAsia="宋体" w:hAnsi="宋体" w:cs="宋体"/>
          <w:color w:val="000000"/>
          <w:kern w:val="0"/>
          <w:sz w:val="24"/>
          <w:szCs w:val="24"/>
        </w:rPr>
        <w:t>“合格”或“不合格”的验收结论。对审核验收合格的申报项目，由聘请的第三方会计师事务所对项目资金使用情况进行审计，在政府网站向社会公示项目建设情况和计划补贴资金数量，经公示无异议后，履行资金拨付程序。对审核验收不合格的项目，提出整改意见。</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（二）资金拨付。</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1.中央财政补贴资金根据项目实施按进度拨付：一是项目启动后，对公共服务中心、村级服务站、人员培训可预拨该项目已到位资金的20%财政补贴；二是根据项目建设进度经阶段审核验收后拨付阶段建设资金；三是全部项目完成审核验收合格后，拨付其余全部资金。</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2.中央财政补贴资金的拨付程序，由承办企业提出资金拨付书面申请（具体项目名称、完成情况、资金数量等），连同项目审核验收材料报县电商领导小组办公室，经聘请的专业第三方对项目资金使用情况进行审计，由县财政局、商务局和扶贫开发办公室进行审核后并联合行文，向县电子商务进农村综合示范项目工作领导小组进行汇报同意后，经县政府主要领导审核签字，履行资金拨付手续。</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3.中央财政补贴资金由县财政局管理，专款专用，每月以报表形式将国家专项资金支持项目和补贴资金情况报省财政厅、商务厅、扶贫开发办公室备案，接受上级有关部门的专项检查及社会监督。</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四、项目实施和资金监管</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lastRenderedPageBreak/>
        <w:t>（一）明确工作职责。</w:t>
      </w:r>
      <w:r w:rsidRPr="00C01328">
        <w:rPr>
          <w:rFonts w:ascii="宋体" w:eastAsia="宋体" w:hAnsi="宋体" w:cs="宋体"/>
          <w:color w:val="000000"/>
          <w:kern w:val="0"/>
          <w:sz w:val="24"/>
          <w:szCs w:val="24"/>
        </w:rPr>
        <w:t>县政府是电子商务进农村综合示范工作的责任主体，负责示范项目的组织领导、总体规划、管理监督等工作；县商务局、财政局、扶贫办具体落实。聘请专业的第三方机构对项目资金使用情况进行审计；县电子商务进农村综合示范项目建设工作成员单位配合、支持和监督。</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（二）上级部门监管。</w:t>
      </w:r>
      <w:r w:rsidRPr="00C01328">
        <w:rPr>
          <w:rFonts w:ascii="宋体" w:eastAsia="宋体" w:hAnsi="宋体" w:cs="宋体"/>
          <w:color w:val="000000"/>
          <w:kern w:val="0"/>
          <w:sz w:val="24"/>
          <w:szCs w:val="24"/>
        </w:rPr>
        <w:t>接受国家统一开展的绩效评价；接受省财政厅、商务厅、扶贫办对电子商务进农村综合示范项目的政策指导、技术指导、管理监督、检查验收、绩效考核。加强事中事后动态监管，接受省商务厅等单位对项目进行绩效评价。</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（三）加强企业管理。</w:t>
      </w:r>
      <w:r w:rsidRPr="00C01328">
        <w:rPr>
          <w:rFonts w:ascii="宋体" w:eastAsia="宋体" w:hAnsi="宋体" w:cs="宋体"/>
          <w:color w:val="000000"/>
          <w:kern w:val="0"/>
          <w:sz w:val="24"/>
          <w:szCs w:val="24"/>
        </w:rPr>
        <w:t>项目承办企业要单独建账核算，把财政专项资金与企业投入资金分开科目，分别核算财政专项、政府投入、企业自筹和社会资本投入资金，如实提供申报材料和项目执行情况的报告，落实项目配套资金。按照国家有关财务、会计制度的规定进行账务管理。严格按照规定使用资金，自觉接受商务、财政、扶贫等部门的监督检查。</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（四）加强档案管理。</w:t>
      </w:r>
      <w:r w:rsidRPr="00C01328">
        <w:rPr>
          <w:rFonts w:ascii="宋体" w:eastAsia="宋体" w:hAnsi="宋体" w:cs="宋体"/>
          <w:color w:val="000000"/>
          <w:kern w:val="0"/>
          <w:sz w:val="24"/>
          <w:szCs w:val="24"/>
        </w:rPr>
        <w:t>按照国家档案管理有关规定建立健全项目档案，对项目的申报、建设、验收、补贴等各环节的档案材料整理归档，做到资料详实、手续齐备、程序合规。</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（五）加强信息管理。</w:t>
      </w:r>
      <w:r w:rsidRPr="00C01328">
        <w:rPr>
          <w:rFonts w:ascii="宋体" w:eastAsia="宋体" w:hAnsi="宋体" w:cs="宋体"/>
          <w:color w:val="000000"/>
          <w:kern w:val="0"/>
          <w:sz w:val="24"/>
          <w:szCs w:val="24"/>
        </w:rPr>
        <w:t>建立和完善电子商务信息统计体系，接受财政补贴的项目，按要求及时向商务部门和省数据统计中心报送相关数据，提供交易和活动信息。信息统计部门依法保护其信息安全。</w:t>
      </w:r>
    </w:p>
    <w:p w:rsidR="00C01328" w:rsidRPr="00C01328" w:rsidRDefault="00C01328" w:rsidP="00C01328">
      <w:pPr>
        <w:widowControl/>
        <w:shd w:val="clear" w:color="auto" w:fill="FFFFFF"/>
        <w:ind w:firstLine="643"/>
        <w:jc w:val="left"/>
        <w:textAlignment w:val="baseline"/>
        <w:rPr>
          <w:rFonts w:ascii="宋体" w:eastAsia="宋体" w:hAnsi="宋体" w:cs="宋体"/>
          <w:color w:val="000000"/>
          <w:kern w:val="0"/>
          <w:sz w:val="24"/>
          <w:szCs w:val="24"/>
        </w:rPr>
      </w:pPr>
      <w:r w:rsidRPr="00C01328">
        <w:rPr>
          <w:rFonts w:ascii="宋体" w:eastAsia="宋体" w:hAnsi="宋体" w:cs="宋体"/>
          <w:b/>
          <w:bCs/>
          <w:color w:val="000000"/>
          <w:kern w:val="0"/>
          <w:sz w:val="24"/>
          <w:szCs w:val="24"/>
        </w:rPr>
        <w:t>（六）加强资金管理。</w:t>
      </w:r>
      <w:r w:rsidRPr="00C01328">
        <w:rPr>
          <w:rFonts w:ascii="宋体" w:eastAsia="宋体" w:hAnsi="宋体" w:cs="宋体"/>
          <w:color w:val="000000"/>
          <w:kern w:val="0"/>
          <w:sz w:val="24"/>
          <w:szCs w:val="24"/>
        </w:rPr>
        <w:t>在项目实施过程中，每个项目的建设内容或标准等有可能增减，使用资金也随之变化需调整，在报上级部门备案后，继续组织实施。项目资金须专款专用，杜绝骗取、挪用国家专项资金违法行为，否则将追回已拨付的补贴资金，并按《财政违法行为处罚处分条例》（国务院令第427号）的相关规定，严肃处理。</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附件：青冈县电子商务进农村综合示范项目资金使用表</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附件</w:t>
      </w:r>
    </w:p>
    <w:p w:rsidR="00C01328" w:rsidRPr="00C01328" w:rsidRDefault="00C01328" w:rsidP="00C01328">
      <w:pPr>
        <w:widowControl/>
        <w:shd w:val="clear" w:color="auto" w:fill="FFFFFF"/>
        <w:jc w:val="center"/>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lastRenderedPageBreak/>
        <w:t>青冈县电子商务进农村综合示范项目资金使用表</w:t>
      </w:r>
    </w:p>
    <w:p w:rsidR="00C01328" w:rsidRPr="00C01328" w:rsidRDefault="00C01328" w:rsidP="00C01328">
      <w:pPr>
        <w:widowControl/>
        <w:shd w:val="clear" w:color="auto" w:fill="FFFFFF"/>
        <w:ind w:firstLine="720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单位：万元</w:t>
      </w:r>
    </w:p>
    <w:tbl>
      <w:tblPr>
        <w:tblW w:w="9195" w:type="dxa"/>
        <w:jc w:val="center"/>
        <w:tblCellSpacing w:w="15" w:type="dxa"/>
        <w:tblCellMar>
          <w:left w:w="0" w:type="dxa"/>
          <w:right w:w="0" w:type="dxa"/>
        </w:tblCellMar>
        <w:tblLook w:val="04A0" w:firstRow="1" w:lastRow="0" w:firstColumn="1" w:lastColumn="0" w:noHBand="0" w:noVBand="1"/>
      </w:tblPr>
      <w:tblGrid>
        <w:gridCol w:w="1452"/>
        <w:gridCol w:w="1524"/>
        <w:gridCol w:w="1578"/>
        <w:gridCol w:w="1578"/>
        <w:gridCol w:w="1524"/>
        <w:gridCol w:w="1539"/>
      </w:tblGrid>
      <w:tr w:rsidR="00C01328" w:rsidRPr="00C01328" w:rsidTr="00C01328">
        <w:trPr>
          <w:tblCellSpacing w:w="15" w:type="dxa"/>
          <w:jc w:val="center"/>
        </w:trPr>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宋体" w:eastAsia="宋体" w:hAnsi="宋体" w:cs="宋体" w:hint="eastAsia"/>
                <w:b/>
                <w:bCs/>
                <w:kern w:val="0"/>
                <w:sz w:val="24"/>
                <w:szCs w:val="24"/>
                <w:bdr w:val="none" w:sz="0" w:space="0" w:color="auto" w:frame="1"/>
              </w:rPr>
              <w:t>序号</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宋体" w:eastAsia="宋体" w:hAnsi="宋体" w:cs="宋体" w:hint="eastAsia"/>
                <w:b/>
                <w:bCs/>
                <w:kern w:val="0"/>
                <w:sz w:val="24"/>
                <w:szCs w:val="24"/>
                <w:bdr w:val="none" w:sz="0" w:space="0" w:color="auto" w:frame="1"/>
              </w:rPr>
              <w:t>建设项目</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宋体" w:eastAsia="宋体" w:hAnsi="宋体" w:cs="宋体" w:hint="eastAsia"/>
                <w:b/>
                <w:bCs/>
                <w:kern w:val="0"/>
                <w:sz w:val="24"/>
                <w:szCs w:val="24"/>
                <w:bdr w:val="none" w:sz="0" w:space="0" w:color="auto" w:frame="1"/>
              </w:rPr>
              <w:t>投入总金额</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宋体" w:eastAsia="宋体" w:hAnsi="宋体" w:cs="宋体" w:hint="eastAsia"/>
                <w:b/>
                <w:bCs/>
                <w:kern w:val="0"/>
                <w:sz w:val="24"/>
                <w:szCs w:val="24"/>
                <w:bdr w:val="none" w:sz="0" w:space="0" w:color="auto" w:frame="1"/>
              </w:rPr>
              <w:t>专项资金</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宋体" w:eastAsia="宋体" w:hAnsi="宋体" w:cs="宋体" w:hint="eastAsia"/>
                <w:b/>
                <w:bCs/>
                <w:kern w:val="0"/>
                <w:sz w:val="24"/>
                <w:szCs w:val="24"/>
                <w:bdr w:val="none" w:sz="0" w:space="0" w:color="auto" w:frame="1"/>
              </w:rPr>
              <w:t>政府配套</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宋体" w:eastAsia="宋体" w:hAnsi="宋体" w:cs="宋体" w:hint="eastAsia"/>
                <w:b/>
                <w:bCs/>
                <w:kern w:val="0"/>
                <w:sz w:val="24"/>
                <w:szCs w:val="24"/>
                <w:bdr w:val="none" w:sz="0" w:space="0" w:color="auto" w:frame="1"/>
              </w:rPr>
              <w:t>企业投入</w:t>
            </w:r>
          </w:p>
        </w:tc>
      </w:tr>
      <w:tr w:rsidR="00C01328" w:rsidRPr="00C01328" w:rsidTr="00C01328">
        <w:trPr>
          <w:tblCellSpacing w:w="15" w:type="dxa"/>
          <w:jc w:val="center"/>
        </w:trPr>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1</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left"/>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县级电子商务公共服务中心</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725</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225</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200</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300</w:t>
            </w:r>
          </w:p>
        </w:tc>
      </w:tr>
      <w:tr w:rsidR="00C01328" w:rsidRPr="00C01328" w:rsidTr="00C01328">
        <w:trPr>
          <w:tblCellSpacing w:w="15" w:type="dxa"/>
          <w:jc w:val="center"/>
        </w:trPr>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2</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left"/>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乡镇、村级电子商务服务站点</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250</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150</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baseline"/>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 </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100</w:t>
            </w:r>
          </w:p>
        </w:tc>
      </w:tr>
      <w:tr w:rsidR="00C01328" w:rsidRPr="00C01328" w:rsidTr="00C01328">
        <w:trPr>
          <w:tblCellSpacing w:w="15" w:type="dxa"/>
          <w:jc w:val="center"/>
        </w:trPr>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3</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left"/>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县域电子商务物流配送体系</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650</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450</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baseline"/>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 </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200</w:t>
            </w:r>
          </w:p>
        </w:tc>
      </w:tr>
      <w:tr w:rsidR="00C01328" w:rsidRPr="00C01328" w:rsidTr="00C01328">
        <w:trPr>
          <w:tblCellSpacing w:w="15" w:type="dxa"/>
          <w:jc w:val="center"/>
        </w:trPr>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4</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left"/>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品牌培育和质量保障体系建设</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650</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450</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baseline"/>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 </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200</w:t>
            </w:r>
          </w:p>
        </w:tc>
      </w:tr>
      <w:tr w:rsidR="00C01328" w:rsidRPr="00C01328" w:rsidTr="00C01328">
        <w:trPr>
          <w:tblCellSpacing w:w="15" w:type="dxa"/>
          <w:jc w:val="center"/>
        </w:trPr>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5</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left"/>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农村电子商务培训</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225</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225</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baseline"/>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 </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0</w:t>
            </w:r>
          </w:p>
        </w:tc>
      </w:tr>
      <w:tr w:rsidR="00C01328" w:rsidRPr="00C01328" w:rsidTr="00C01328">
        <w:trPr>
          <w:tblCellSpacing w:w="15" w:type="dxa"/>
          <w:jc w:val="center"/>
        </w:trPr>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6</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left"/>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后续项目资金拨付</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500</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500</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baseline"/>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 </w:t>
            </w:r>
          </w:p>
        </w:tc>
        <w:tc>
          <w:tcPr>
            <w:tcW w:w="2025"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0</w:t>
            </w:r>
          </w:p>
        </w:tc>
      </w:tr>
      <w:tr w:rsidR="00C01328" w:rsidRPr="00C01328" w:rsidTr="00C01328">
        <w:trPr>
          <w:tblCellSpacing w:w="15" w:type="dxa"/>
          <w:jc w:val="center"/>
        </w:trPr>
        <w:tc>
          <w:tcPr>
            <w:tcW w:w="2025"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24"/>
                <w:szCs w:val="24"/>
                <w:bdr w:val="none" w:sz="0" w:space="0" w:color="auto" w:frame="1"/>
              </w:rPr>
              <w:t>项目合计</w:t>
            </w:r>
          </w:p>
        </w:tc>
        <w:tc>
          <w:tcPr>
            <w:tcW w:w="2025" w:type="dxa"/>
            <w:tcBorders>
              <w:top w:val="single" w:sz="18" w:space="0" w:color="000000"/>
              <w:left w:val="single" w:sz="18" w:space="0" w:color="000000"/>
              <w:bottom w:val="single" w:sz="18" w:space="0" w:color="000000"/>
              <w:right w:val="single" w:sz="18"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3000</w:t>
            </w:r>
          </w:p>
        </w:tc>
        <w:tc>
          <w:tcPr>
            <w:tcW w:w="2025" w:type="dxa"/>
            <w:tcBorders>
              <w:top w:val="single" w:sz="18" w:space="0" w:color="000000"/>
              <w:left w:val="single" w:sz="18" w:space="0" w:color="000000"/>
              <w:bottom w:val="single" w:sz="18" w:space="0" w:color="000000"/>
              <w:right w:val="single" w:sz="18"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2000</w:t>
            </w:r>
          </w:p>
        </w:tc>
        <w:tc>
          <w:tcPr>
            <w:tcW w:w="2025" w:type="dxa"/>
            <w:tcBorders>
              <w:top w:val="single" w:sz="18" w:space="0" w:color="000000"/>
              <w:left w:val="single" w:sz="18" w:space="0" w:color="000000"/>
              <w:bottom w:val="single" w:sz="18" w:space="0" w:color="000000"/>
              <w:right w:val="single" w:sz="18"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200</w:t>
            </w:r>
          </w:p>
        </w:tc>
        <w:tc>
          <w:tcPr>
            <w:tcW w:w="2025" w:type="dxa"/>
            <w:tcBorders>
              <w:top w:val="single" w:sz="18" w:space="0" w:color="000000"/>
              <w:left w:val="single" w:sz="18" w:space="0" w:color="000000"/>
              <w:bottom w:val="single" w:sz="18" w:space="0" w:color="000000"/>
              <w:right w:val="single" w:sz="18" w:space="0" w:color="000000"/>
            </w:tcBorders>
            <w:shd w:val="clear" w:color="auto" w:fill="auto"/>
            <w:vAlign w:val="bottom"/>
            <w:hideMark/>
          </w:tcPr>
          <w:p w:rsidR="00C01328" w:rsidRPr="00C01328" w:rsidRDefault="00C01328" w:rsidP="00C01328">
            <w:pPr>
              <w:widowControl/>
              <w:jc w:val="center"/>
              <w:textAlignment w:val="center"/>
              <w:rPr>
                <w:rFonts w:ascii="宋体" w:eastAsia="宋体" w:hAnsi="宋体" w:cs="宋体"/>
                <w:kern w:val="0"/>
                <w:sz w:val="24"/>
                <w:szCs w:val="24"/>
              </w:rPr>
            </w:pPr>
            <w:r w:rsidRPr="00C01328">
              <w:rPr>
                <w:rFonts w:ascii="仿宋_GB2312" w:eastAsia="仿宋_GB2312" w:hAnsi="宋体" w:cs="宋体" w:hint="eastAsia"/>
                <w:kern w:val="0"/>
                <w:sz w:val="30"/>
                <w:szCs w:val="30"/>
                <w:bdr w:val="none" w:sz="0" w:space="0" w:color="auto" w:frame="1"/>
              </w:rPr>
              <w:t>800</w:t>
            </w:r>
          </w:p>
        </w:tc>
      </w:tr>
    </w:tbl>
    <w:p w:rsidR="00C01328" w:rsidRPr="00C01328" w:rsidRDefault="00C01328" w:rsidP="00C01328">
      <w:pPr>
        <w:widowControl/>
        <w:shd w:val="clear" w:color="auto" w:fill="FFFFFF"/>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 </w:t>
      </w:r>
    </w:p>
    <w:p w:rsidR="00C01328" w:rsidRPr="00C01328" w:rsidRDefault="00C01328" w:rsidP="00C01328">
      <w:pPr>
        <w:widowControl/>
        <w:shd w:val="clear" w:color="auto" w:fill="FFFFFF"/>
        <w:ind w:firstLine="640"/>
        <w:jc w:val="left"/>
        <w:textAlignment w:val="baseline"/>
        <w:rPr>
          <w:rFonts w:ascii="宋体" w:eastAsia="宋体" w:hAnsi="宋体" w:cs="宋体"/>
          <w:color w:val="000000"/>
          <w:kern w:val="0"/>
          <w:sz w:val="24"/>
          <w:szCs w:val="24"/>
        </w:rPr>
      </w:pPr>
      <w:r w:rsidRPr="00C01328">
        <w:rPr>
          <w:rFonts w:ascii="宋体" w:eastAsia="宋体" w:hAnsi="宋体" w:cs="宋体"/>
          <w:color w:val="000000"/>
          <w:kern w:val="0"/>
          <w:sz w:val="24"/>
          <w:szCs w:val="24"/>
        </w:rPr>
        <w:t>说明：第6项，后续项目资金拨付指的是青冈县电子商务进农村综合示范项目整体验收合格后，政府拨付承建企业后续国家专项资金500万元用于项目后续建设</w:t>
      </w:r>
    </w:p>
    <w:p w:rsidR="007E5587" w:rsidRDefault="007E5587">
      <w:bookmarkStart w:id="0" w:name="_GoBack"/>
      <w:bookmarkEnd w:id="0"/>
    </w:p>
    <w:sectPr w:rsidR="007E55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E5"/>
    <w:rsid w:val="004B61E5"/>
    <w:rsid w:val="007E5587"/>
    <w:rsid w:val="00C0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F5DDA-75A9-4722-9824-9B1943D0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507199">
      <w:bodyDiv w:val="1"/>
      <w:marLeft w:val="0"/>
      <w:marRight w:val="0"/>
      <w:marTop w:val="0"/>
      <w:marBottom w:val="0"/>
      <w:divBdr>
        <w:top w:val="none" w:sz="0" w:space="0" w:color="auto"/>
        <w:left w:val="none" w:sz="0" w:space="0" w:color="auto"/>
        <w:bottom w:val="none" w:sz="0" w:space="0" w:color="auto"/>
        <w:right w:val="none" w:sz="0" w:space="0" w:color="auto"/>
      </w:divBdr>
      <w:divsChild>
        <w:div w:id="1791392064">
          <w:marLeft w:val="0"/>
          <w:marRight w:val="0"/>
          <w:marTop w:val="0"/>
          <w:marBottom w:val="300"/>
          <w:divBdr>
            <w:top w:val="none" w:sz="0" w:space="0" w:color="auto"/>
            <w:left w:val="none" w:sz="0" w:space="0" w:color="auto"/>
            <w:bottom w:val="none" w:sz="0" w:space="0" w:color="auto"/>
            <w:right w:val="none" w:sz="0" w:space="0" w:color="auto"/>
          </w:divBdr>
        </w:div>
        <w:div w:id="1401753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2879</Characters>
  <Application>Microsoft Office Word</Application>
  <DocSecurity>0</DocSecurity>
  <Lines>23</Lines>
  <Paragraphs>6</Paragraphs>
  <ScaleCrop>false</ScaleCrop>
  <Company>Microsoft</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2</cp:revision>
  <dcterms:created xsi:type="dcterms:W3CDTF">2018-05-06T02:49:00Z</dcterms:created>
  <dcterms:modified xsi:type="dcterms:W3CDTF">2018-05-06T02:49:00Z</dcterms:modified>
</cp:coreProperties>
</file>