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B21" w:rsidRPr="00461B21" w:rsidRDefault="00461B21" w:rsidP="00461B21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bookmarkStart w:id="0" w:name="_GoBack"/>
      <w:r w:rsidRPr="00461B21">
        <w:rPr>
          <w:rFonts w:ascii="宋体" w:eastAsia="宋体" w:hAnsi="宋体" w:cs="宋体" w:hint="eastAsia"/>
          <w:b/>
          <w:bCs/>
          <w:color w:val="007F2B"/>
          <w:kern w:val="0"/>
          <w:sz w:val="27"/>
          <w:szCs w:val="27"/>
        </w:rPr>
        <w:t>关于印发崇义县加快发展总部经济的实施意见的通知</w:t>
      </w:r>
    </w:p>
    <w:bookmarkEnd w:id="0"/>
    <w:p w:rsidR="00461B21" w:rsidRPr="00461B21" w:rsidRDefault="00461B21" w:rsidP="00461B21">
      <w:pPr>
        <w:widowControl/>
        <w:shd w:val="clear" w:color="auto" w:fill="F0FBEF"/>
        <w:spacing w:line="48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61B21" w:rsidRPr="00461B21" w:rsidTr="00461B21">
        <w:trPr>
          <w:trHeight w:val="3800"/>
          <w:tblCellSpacing w:w="0" w:type="dxa"/>
        </w:trPr>
        <w:tc>
          <w:tcPr>
            <w:tcW w:w="5000" w:type="pct"/>
            <w:hideMark/>
          </w:tcPr>
          <w:p w:rsidR="00461B21" w:rsidRPr="00461B21" w:rsidRDefault="00461B21" w:rsidP="00461B21">
            <w:pPr>
              <w:widowControl/>
              <w:shd w:val="clear" w:color="auto" w:fill="FFFFFF"/>
              <w:spacing w:line="33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崇府办</w:t>
            </w:r>
            <w:proofErr w:type="gramEnd"/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发〔2015〕6号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6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方正小标宋简体" w:eastAsia="方正小标宋简体" w:hAnsi="Simsun" w:cs="宋体" w:hint="eastAsia"/>
                <w:color w:val="000000"/>
                <w:kern w:val="0"/>
                <w:sz w:val="44"/>
                <w:szCs w:val="44"/>
              </w:rPr>
              <w:t>崇义县人民政府办公室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7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方正小标宋简体" w:eastAsia="方正小标宋简体" w:hAnsi="Simsun" w:cs="宋体" w:hint="eastAsia"/>
                <w:color w:val="000000"/>
                <w:kern w:val="0"/>
                <w:sz w:val="44"/>
                <w:szCs w:val="44"/>
              </w:rPr>
              <w:t>关于印发崇义县加快发展总部经济的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7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方正小标宋简体" w:eastAsia="方正小标宋简体" w:hAnsi="Simsun" w:cs="宋体" w:hint="eastAsia"/>
                <w:color w:val="000000"/>
                <w:kern w:val="0"/>
                <w:sz w:val="44"/>
                <w:szCs w:val="44"/>
              </w:rPr>
              <w:t>实施意见的通知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各乡（镇）人民政府，县直、驻县各单位：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《崇义县加快发展总部经济的实施意见》业经5月8日县委第十六届第64次常委会和5月5日第十七届县政府第48次常务会议研究同意，现印发给你们，请结合工作实际，认真抓好贯彻落实。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wordWrap w:val="0"/>
              <w:spacing w:line="560" w:lineRule="atLeast"/>
              <w:ind w:firstLine="640"/>
              <w:jc w:val="righ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2015年5月20日</w:t>
            </w:r>
            <w:r w:rsidRPr="00461B21"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6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44"/>
                <w:szCs w:val="44"/>
              </w:rPr>
              <w:t>崇义县加快发展总部经济的实施意见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总部经济是产业分工的高端环节，财税贡献大，辐射带动力强。发展总部经济是我县破解土地、环境要素制约，实现生态环境保护和加快发展双赢的有效途径。为发展总部经济，推动我县加快发展，转型发展，现提出如下实施意见：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一、适用范围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（一）本意见所称总部经济，是指</w:t>
            </w: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县内外居民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在本县完成注册登记，含在县和上级工商部门注册登记，注册地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址在本县，具有企业法人资格，企业所得税和企业员工个人所得税在本县缴纳（汇缴）的总部经济企业。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（二）本意见所称总部经济企业，包括</w:t>
            </w: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金融保险、信贷公司、证券投资、基金公司、股票与基金交易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、投资基金（股权投资、风险投资、创业投资</w:t>
            </w: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、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PIPE</w:t>
            </w: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投资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）、投资与资产管理、咨询服务、商业策划和广告、工业设计、勘察设计等服务业企业，但不含企业在县内实施的业务。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（三）</w:t>
            </w:r>
            <w:r w:rsidRPr="00461B21">
              <w:rPr>
                <w:rFonts w:ascii="Times New Roman" w:eastAsia="宋体" w:hAnsi="Times New Roman" w:cs="Times New Roman"/>
                <w:color w:val="000000"/>
                <w:spacing w:val="-4"/>
                <w:kern w:val="0"/>
                <w:sz w:val="32"/>
                <w:szCs w:val="32"/>
              </w:rPr>
              <w:t>本意见适用于内资、外资、中外合资（合作）总部经济企业</w:t>
            </w:r>
            <w:r w:rsidRPr="00461B21">
              <w:rPr>
                <w:rFonts w:ascii="仿宋_GB2312" w:eastAsia="仿宋_GB2312" w:hAnsi="Simsun" w:cs="宋体" w:hint="eastAsia"/>
                <w:color w:val="000000"/>
                <w:spacing w:val="-4"/>
                <w:kern w:val="0"/>
                <w:sz w:val="32"/>
                <w:szCs w:val="32"/>
              </w:rPr>
              <w:t>，同时适用于县内外企业、个人从事上市公司股票与基金交易、且在本县纳税的投资业务，并</w:t>
            </w:r>
            <w:r w:rsidRPr="00461B21">
              <w:rPr>
                <w:rFonts w:ascii="Times New Roman" w:eastAsia="宋体" w:hAnsi="Times New Roman" w:cs="Times New Roman"/>
                <w:color w:val="000000"/>
                <w:spacing w:val="-4"/>
                <w:kern w:val="0"/>
                <w:sz w:val="32"/>
                <w:szCs w:val="32"/>
              </w:rPr>
              <w:t>在</w:t>
            </w:r>
            <w:proofErr w:type="gramStart"/>
            <w:r w:rsidRPr="00461B21">
              <w:rPr>
                <w:rFonts w:ascii="Times New Roman" w:eastAsia="宋体" w:hAnsi="Times New Roman" w:cs="Times New Roman"/>
                <w:color w:val="000000"/>
                <w:spacing w:val="-4"/>
                <w:kern w:val="0"/>
                <w:sz w:val="32"/>
                <w:szCs w:val="32"/>
              </w:rPr>
              <w:t>县发改</w:t>
            </w:r>
            <w:proofErr w:type="gramEnd"/>
            <w:r w:rsidRPr="00461B21">
              <w:rPr>
                <w:rFonts w:ascii="Times New Roman" w:eastAsia="宋体" w:hAnsi="Times New Roman" w:cs="Times New Roman"/>
                <w:color w:val="000000"/>
                <w:spacing w:val="-4"/>
                <w:kern w:val="0"/>
                <w:sz w:val="32"/>
                <w:szCs w:val="32"/>
              </w:rPr>
              <w:t>委办理和通过报备手续的企业</w:t>
            </w:r>
            <w:r w:rsidRPr="00461B21">
              <w:rPr>
                <w:rFonts w:ascii="仿宋_GB2312" w:eastAsia="仿宋_GB2312" w:hAnsi="Simsun" w:cs="宋体" w:hint="eastAsia"/>
                <w:color w:val="000000"/>
                <w:spacing w:val="-4"/>
                <w:kern w:val="0"/>
                <w:sz w:val="32"/>
                <w:szCs w:val="32"/>
              </w:rPr>
              <w:t>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二、注册登记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27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（一）企业形式，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可以依法采取公司制（股份公司、有限公司）、合伙制、有限合伙制等企业组织形式，国家对注册资本、实收资本、出资方式等有规定要求的，应符合国家规定。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27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（二）股东和合伙人，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国内外自然人、法人和其他组织，法律法规无限制、禁止性规定的，可以登记为公司股东或合伙人。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普通合伙人，除《中华人民共和国合伙企业法》明文规定的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国家独资公司、国有企业、上市公司以及公益性事业单位、社会团体不得成为普通合伙人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以外，其它自然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人、合伙企业、非上市有限责任公司等市场主体均可作为普通合伙人。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（三）行政区划名称登记，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申请</w:t>
            </w:r>
            <w:proofErr w:type="gramStart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不</w:t>
            </w:r>
            <w:proofErr w:type="gramEnd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冠行政区划地名的或冠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中国或中华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、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江西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的，不违反国家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限制、禁止性规定的，应当允许，需要由市以上工商部门审核的，县工商局部门全力协助办理。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（四）企业冠名，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基金类总部经济企业，不违反国家限制、禁止性规定的，可以在企业名称中使用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股权投资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、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股权投资管理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或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基金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、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基金管理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字样。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（五）企业住所登记，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允许将县内同一地址作为多家总部经济企业的法定住所。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（六）企业经营范围，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基金类总部经济企业，符合国家规定条件的，企业经营范围可以表述为股权投资、股权投资管理、投资基金管理等字样。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0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三、税收政策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根据国家现行税制的规定，总部经济企业应税项目按以下标准执行：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（一）企业所得税。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税率为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25%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，企业业务收入符合国家西部大开发税收优惠政策规定及其条件的，可减按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15%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税率执行。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（二）个人所得税。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企业组织形式为合伙企业和有限合伙的，允许采取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先分红后缴税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的方式，由合伙人分红后分别缴税，其中：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1.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执行合伙事务的合伙人。应按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个体工商户的生产经营所得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应税项目，适用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5%-35%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的五级超额累进税率；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2.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非执行合伙事务的有限合伙人。应按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利息、股息、红利所得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应税项目，适用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20%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税率（合伙人如果是法人的，应当缴纳企业所得税）。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（三）营业税。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按国家《营业税税目税率表》执行，其中投资基金类业务应按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金融保险业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应税项目，适应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5%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税率。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（四）企业所得税和营业税。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符合国家规定条件的，也可核定营业收入，定额定量征收。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以上适应税率税目，如国家公布调整，则按国家规定的新税目税率执行。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四、扶持政策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县财政设立总部经济培育成长专项资金，由县财政局会同</w:t>
            </w:r>
            <w:proofErr w:type="gramStart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县发改</w:t>
            </w:r>
            <w:proofErr w:type="gramEnd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委管理，专项用于总部经济产业培育发展。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（一）企业落户补贴。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自企业在县内运营年度起，可按其实</w:t>
            </w:r>
            <w:proofErr w:type="gramStart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收资本</w:t>
            </w:r>
            <w:proofErr w:type="gramEnd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金额（合伙企业实收资本以银行到账单为准，下同）</w:t>
            </w: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不高于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5%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比例给予落户补贴，可连续补贴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年。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（二）企业投资项目补助。</w:t>
            </w: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包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括企业自身投资和对外投资项目，含股权基金投资企业股权、企业发展和服务项目等，视项目辐射带动效应和税源情况，可按项目投入资金</w:t>
            </w: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不高于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15%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比例给予企业一次性补助。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（三）企业办公和营业用房补贴。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自企业在县内运营年度起，年营业收入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50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万元以上的，可按当年营业收入</w:t>
            </w: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不高于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5%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比例给予企业办公及营业用房（含县内、县外）补贴，可连续补贴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年。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（四）企业高</w:t>
            </w:r>
            <w:proofErr w:type="gramStart"/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管贡献</w:t>
            </w:r>
            <w:proofErr w:type="gramEnd"/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奖励。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企业高管，含董事会、行政团队及监事会成员，视企业生产发展和效益情况，给予每人</w:t>
            </w: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不高于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万元年</w:t>
            </w:r>
            <w:proofErr w:type="gramStart"/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度贡献</w:t>
            </w:r>
            <w:proofErr w:type="gramEnd"/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奖，可连续奖励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年。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（五）企业社会保险费用补助。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企业及其员工缴纳的养老保险费、医疗保险费、失业保险费、工伤保险费、生育保险费和住房公积金，包括县内和县外经营地区缴纳的，自企业在县内运营年度起，可给予部分或全部补助，可连续补助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年。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（六）产业发展突出贡献奖。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对推动我县总部经济产业发展做出重大贡献的</w:t>
            </w:r>
            <w:proofErr w:type="gramStart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的</w:t>
            </w:r>
            <w:proofErr w:type="gramEnd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企业，给予产业发展突出贡献奖，可连续奖励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年。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每年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日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-3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月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31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日，</w:t>
            </w:r>
            <w:proofErr w:type="gramStart"/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县发改</w:t>
            </w:r>
            <w:proofErr w:type="gramEnd"/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委组织对上年度总部经济产业发展情况进行总结考评，由企业申请，经</w:t>
            </w:r>
            <w:proofErr w:type="gramStart"/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县发改</w:t>
            </w:r>
            <w:proofErr w:type="gramEnd"/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委、财政局审核评估后报县人民政府批复实施，核定其应享受各项补贴、补助和奖励金额。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五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、工作措施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（一）创优总部经济发展环境。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由</w:t>
            </w:r>
            <w:proofErr w:type="gramStart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县发改</w:t>
            </w:r>
            <w:proofErr w:type="gramEnd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委牵头，以培育发展投资基金产业为工作重点，促进总部经济产业跨越式发展，争取崇义县设立省（市）级金融改革创新服务（试验）区，放宽基金和基金管理企业注册资本、行政区域冠名等的限制，下放有限合伙企业登记权及股权投资类企业备案权，为总部经济发展创建良好环境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（二）成立总部经济产业发展领导机构。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成立崇义县促进总部经济产业发展工作领导小组，由县长任组长，</w:t>
            </w:r>
            <w:proofErr w:type="gramStart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县发改</w:t>
            </w:r>
            <w:proofErr w:type="gramEnd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、财政、工商、国地税等部门主要负责人为成员，领导小组研究拟定总部经济产业发展政策措施，统筹协调总部经济产业发展工作。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（三）成立总部经济对接服务机构。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成立总部经济企业落户对接服务工作组，由</w:t>
            </w:r>
            <w:proofErr w:type="gramStart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县发改</w:t>
            </w:r>
            <w:proofErr w:type="gramEnd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、财政、工商、国税、地税部门分管业务副职领导组成，由</w:t>
            </w:r>
            <w:proofErr w:type="gramStart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县发改</w:t>
            </w:r>
            <w:proofErr w:type="gramEnd"/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委分管领导牵头，对接总部经济企业落户，实行全过程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“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一条龙</w:t>
            </w:r>
            <w:r w:rsidRPr="00461B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”</w:t>
            </w:r>
            <w:r w:rsidRPr="00461B21"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  <w:t>服务，全程代办或协助办理企业工商注册、税务登记、银行开户和信息报表报送等工作。</w:t>
            </w:r>
          </w:p>
          <w:p w:rsidR="00461B21" w:rsidRPr="00461B21" w:rsidRDefault="00461B21" w:rsidP="00461B21">
            <w:pPr>
              <w:widowControl/>
              <w:shd w:val="clear" w:color="auto" w:fill="FFFFFF"/>
              <w:spacing w:line="580" w:lineRule="atLeast"/>
              <w:ind w:firstLine="64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461B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（四）</w:t>
            </w:r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本实施意见暂定执行10年，由</w:t>
            </w:r>
            <w:proofErr w:type="gramStart"/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县发改</w:t>
            </w:r>
            <w:proofErr w:type="gramEnd"/>
            <w:r w:rsidRPr="00461B21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委、县财政局解释。</w:t>
            </w:r>
          </w:p>
        </w:tc>
      </w:tr>
    </w:tbl>
    <w:p w:rsidR="00045689" w:rsidRPr="00461B21" w:rsidRDefault="00045689"/>
    <w:sectPr w:rsidR="00045689" w:rsidRPr="00461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21"/>
    <w:rsid w:val="00045689"/>
    <w:rsid w:val="0046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D1312-8234-4E8A-948D-9A5855B3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1B21"/>
  </w:style>
  <w:style w:type="paragraph" w:customStyle="1" w:styleId="p0">
    <w:name w:val="p0"/>
    <w:basedOn w:val="a"/>
    <w:rsid w:val="00461B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05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2018-05-16T03:49:00Z</dcterms:created>
  <dcterms:modified xsi:type="dcterms:W3CDTF">2018-05-16T03:49:00Z</dcterms:modified>
</cp:coreProperties>
</file>