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0" w:afterAutospacing="0" w:line="350" w:lineRule="atLeast"/>
        <w:ind w:left="0" w:right="0"/>
        <w:jc w:val="center"/>
        <w:rPr>
          <w:rFonts w:ascii="微软雅黑" w:hAnsi="微软雅黑" w:eastAsia="微软雅黑" w:cs="微软雅黑"/>
          <w:b/>
          <w:i w:val="0"/>
          <w:color w:val="000000"/>
          <w:sz w:val="24"/>
          <w:szCs w:val="24"/>
        </w:rPr>
      </w:pPr>
      <w:bookmarkStart w:id="0" w:name="_GoBack"/>
      <w:r>
        <w:rPr>
          <w:rFonts w:hint="eastAsia" w:ascii="微软雅黑" w:hAnsi="微软雅黑" w:eastAsia="微软雅黑" w:cs="微软雅黑"/>
          <w:b/>
          <w:i w:val="0"/>
          <w:caps w:val="0"/>
          <w:color w:val="000000"/>
          <w:spacing w:val="0"/>
          <w:sz w:val="24"/>
          <w:szCs w:val="24"/>
        </w:rPr>
        <w:t>关于印发安福县山塘整治项目建设和资金管理实施细则的通知实施细则的通知</w:t>
      </w:r>
    </w:p>
    <w:bookmarkEnd w:id="0"/>
    <w:p>
      <w:pPr>
        <w:pStyle w:val="3"/>
        <w:keepNext w:val="0"/>
        <w:keepLines w:val="0"/>
        <w:widowControl/>
        <w:suppressLineNumbers w:val="0"/>
        <w:pBdr>
          <w:top w:val="none" w:color="auto" w:sz="0" w:space="0"/>
          <w:left w:val="none" w:color="auto" w:sz="0" w:space="0"/>
          <w:bottom w:val="single" w:color="CCCCCC" w:sz="4" w:space="0"/>
          <w:right w:val="none" w:color="auto" w:sz="0" w:space="0"/>
        </w:pBdr>
        <w:spacing w:before="0" w:beforeAutospacing="0" w:after="0" w:afterAutospacing="0" w:line="600" w:lineRule="atLeast"/>
        <w:ind w:left="0" w:right="0"/>
        <w:jc w:val="center"/>
      </w:pPr>
      <w:r>
        <w:rPr>
          <w:rFonts w:hint="eastAsia" w:ascii="宋体" w:hAnsi="宋体" w:eastAsia="宋体" w:cs="宋体"/>
          <w:i w:val="0"/>
          <w:caps w:val="0"/>
          <w:color w:val="616161"/>
          <w:spacing w:val="0"/>
          <w:sz w:val="12"/>
          <w:szCs w:val="12"/>
          <w:bdr w:val="none" w:color="auto" w:sz="0" w:space="0"/>
        </w:rPr>
        <w:t>日期：2015-12-16</w:t>
      </w:r>
      <w:r>
        <w:rPr>
          <w:rFonts w:hint="eastAsia" w:ascii="宋体" w:hAnsi="宋体" w:eastAsia="宋体" w:cs="宋体"/>
          <w:i w:val="0"/>
          <w:caps w:val="0"/>
          <w:color w:val="000000"/>
          <w:spacing w:val="0"/>
          <w:sz w:val="14"/>
          <w:szCs w:val="14"/>
          <w:bdr w:val="none" w:color="auto" w:sz="0" w:space="0"/>
        </w:rPr>
        <w:t> </w:t>
      </w:r>
      <w:r>
        <w:rPr>
          <w:rFonts w:hint="eastAsia" w:ascii="宋体" w:hAnsi="宋体" w:eastAsia="宋体" w:cs="宋体"/>
          <w:i w:val="0"/>
          <w:caps w:val="0"/>
          <w:color w:val="616161"/>
          <w:spacing w:val="0"/>
          <w:sz w:val="12"/>
          <w:szCs w:val="12"/>
          <w:bdr w:val="none" w:color="auto" w:sz="0" w:space="0"/>
        </w:rPr>
        <w:t>作者：admin</w:t>
      </w:r>
      <w:r>
        <w:rPr>
          <w:rFonts w:hint="eastAsia" w:ascii="宋体" w:hAnsi="宋体" w:eastAsia="宋体" w:cs="宋体"/>
          <w:i w:val="0"/>
          <w:caps w:val="0"/>
          <w:color w:val="000000"/>
          <w:spacing w:val="0"/>
          <w:sz w:val="14"/>
          <w:szCs w:val="14"/>
          <w:bdr w:val="none" w:color="auto" w:sz="0" w:space="0"/>
        </w:rPr>
        <w:t> </w:t>
      </w:r>
      <w:r>
        <w:rPr>
          <w:rFonts w:hint="eastAsia" w:ascii="宋体" w:hAnsi="宋体" w:eastAsia="宋体" w:cs="宋体"/>
          <w:i w:val="0"/>
          <w:caps w:val="0"/>
          <w:color w:val="616161"/>
          <w:spacing w:val="0"/>
          <w:sz w:val="12"/>
          <w:szCs w:val="12"/>
          <w:bdr w:val="none" w:color="auto" w:sz="0" w:space="0"/>
        </w:rPr>
        <w:t>字号：[</w:t>
      </w:r>
      <w:r>
        <w:rPr>
          <w:rFonts w:hint="eastAsia" w:ascii="宋体" w:hAnsi="宋体" w:eastAsia="宋体" w:cs="宋体"/>
          <w:i w:val="0"/>
          <w:caps w:val="0"/>
          <w:color w:val="232323"/>
          <w:spacing w:val="0"/>
          <w:sz w:val="18"/>
          <w:szCs w:val="18"/>
          <w:u w:val="none"/>
          <w:bdr w:val="none" w:color="auto" w:sz="0" w:space="0"/>
        </w:rPr>
        <w:fldChar w:fldCharType="begin"/>
      </w:r>
      <w:r>
        <w:rPr>
          <w:rFonts w:hint="eastAsia" w:ascii="宋体" w:hAnsi="宋体" w:eastAsia="宋体" w:cs="宋体"/>
          <w:i w:val="0"/>
          <w:caps w:val="0"/>
          <w:color w:val="232323"/>
          <w:spacing w:val="0"/>
          <w:sz w:val="18"/>
          <w:szCs w:val="18"/>
          <w:u w:val="none"/>
          <w:bdr w:val="none" w:color="auto" w:sz="0" w:space="0"/>
        </w:rPr>
        <w:instrText xml:space="preserve"> HYPERLINK "http://www.afx.gov.cn/xxgk/zcwj/201601/javascript:void(0); return false;" </w:instrText>
      </w:r>
      <w:r>
        <w:rPr>
          <w:rFonts w:hint="eastAsia" w:ascii="宋体" w:hAnsi="宋体" w:eastAsia="宋体" w:cs="宋体"/>
          <w:i w:val="0"/>
          <w:caps w:val="0"/>
          <w:color w:val="232323"/>
          <w:spacing w:val="0"/>
          <w:sz w:val="18"/>
          <w:szCs w:val="18"/>
          <w:u w:val="none"/>
          <w:bdr w:val="none" w:color="auto" w:sz="0" w:space="0"/>
        </w:rPr>
        <w:fldChar w:fldCharType="separate"/>
      </w:r>
      <w:r>
        <w:rPr>
          <w:rStyle w:val="5"/>
          <w:rFonts w:hint="eastAsia" w:ascii="宋体" w:hAnsi="宋体" w:eastAsia="宋体" w:cs="宋体"/>
          <w:i w:val="0"/>
          <w:caps w:val="0"/>
          <w:color w:val="232323"/>
          <w:spacing w:val="0"/>
          <w:sz w:val="18"/>
          <w:szCs w:val="18"/>
          <w:u w:val="none"/>
          <w:bdr w:val="none" w:color="auto" w:sz="0" w:space="0"/>
        </w:rPr>
        <w:t>大</w:t>
      </w:r>
      <w:r>
        <w:rPr>
          <w:rFonts w:hint="eastAsia" w:ascii="宋体" w:hAnsi="宋体" w:eastAsia="宋体" w:cs="宋体"/>
          <w:i w:val="0"/>
          <w:caps w:val="0"/>
          <w:color w:val="232323"/>
          <w:spacing w:val="0"/>
          <w:sz w:val="18"/>
          <w:szCs w:val="18"/>
          <w:u w:val="none"/>
          <w:bdr w:val="none" w:color="auto" w:sz="0" w:space="0"/>
        </w:rPr>
        <w:fldChar w:fldCharType="end"/>
      </w:r>
      <w:r>
        <w:rPr>
          <w:rFonts w:hint="eastAsia" w:ascii="宋体" w:hAnsi="宋体" w:eastAsia="宋体" w:cs="宋体"/>
          <w:i w:val="0"/>
          <w:caps w:val="0"/>
          <w:color w:val="FF0000"/>
          <w:spacing w:val="0"/>
          <w:sz w:val="16"/>
          <w:szCs w:val="16"/>
          <w:u w:val="single"/>
          <w:bdr w:val="none" w:color="auto" w:sz="0" w:space="0"/>
        </w:rPr>
        <w:fldChar w:fldCharType="begin"/>
      </w:r>
      <w:r>
        <w:rPr>
          <w:rFonts w:hint="eastAsia" w:ascii="宋体" w:hAnsi="宋体" w:eastAsia="宋体" w:cs="宋体"/>
          <w:i w:val="0"/>
          <w:caps w:val="0"/>
          <w:color w:val="FF0000"/>
          <w:spacing w:val="0"/>
          <w:sz w:val="16"/>
          <w:szCs w:val="16"/>
          <w:u w:val="single"/>
          <w:bdr w:val="none" w:color="auto" w:sz="0" w:space="0"/>
        </w:rPr>
        <w:instrText xml:space="preserve"> HYPERLINK "http://www.afx.gov.cn/xxgk/zcwj/201601/javascript:void(0);return false;" </w:instrText>
      </w:r>
      <w:r>
        <w:rPr>
          <w:rFonts w:hint="eastAsia" w:ascii="宋体" w:hAnsi="宋体" w:eastAsia="宋体" w:cs="宋体"/>
          <w:i w:val="0"/>
          <w:caps w:val="0"/>
          <w:color w:val="FF0000"/>
          <w:spacing w:val="0"/>
          <w:sz w:val="16"/>
          <w:szCs w:val="16"/>
          <w:u w:val="single"/>
          <w:bdr w:val="none" w:color="auto" w:sz="0" w:space="0"/>
        </w:rPr>
        <w:fldChar w:fldCharType="separate"/>
      </w:r>
      <w:r>
        <w:rPr>
          <w:rStyle w:val="5"/>
          <w:rFonts w:hint="eastAsia" w:ascii="宋体" w:hAnsi="宋体" w:eastAsia="宋体" w:cs="宋体"/>
          <w:i w:val="0"/>
          <w:caps w:val="0"/>
          <w:color w:val="FF0000"/>
          <w:spacing w:val="0"/>
          <w:sz w:val="16"/>
          <w:szCs w:val="16"/>
          <w:u w:val="single"/>
          <w:bdr w:val="none" w:color="auto" w:sz="0" w:space="0"/>
        </w:rPr>
        <w:t>中</w:t>
      </w:r>
      <w:r>
        <w:rPr>
          <w:rFonts w:hint="eastAsia" w:ascii="宋体" w:hAnsi="宋体" w:eastAsia="宋体" w:cs="宋体"/>
          <w:i w:val="0"/>
          <w:caps w:val="0"/>
          <w:color w:val="FF0000"/>
          <w:spacing w:val="0"/>
          <w:sz w:val="16"/>
          <w:szCs w:val="16"/>
          <w:u w:val="single"/>
          <w:bdr w:val="none" w:color="auto" w:sz="0" w:space="0"/>
        </w:rPr>
        <w:fldChar w:fldCharType="end"/>
      </w:r>
      <w:r>
        <w:rPr>
          <w:rFonts w:hint="eastAsia" w:ascii="宋体" w:hAnsi="宋体" w:eastAsia="宋体" w:cs="宋体"/>
          <w:i w:val="0"/>
          <w:caps w:val="0"/>
          <w:color w:val="232323"/>
          <w:spacing w:val="0"/>
          <w:sz w:val="14"/>
          <w:szCs w:val="14"/>
          <w:u w:val="none"/>
          <w:bdr w:val="none" w:color="auto" w:sz="0" w:space="0"/>
        </w:rPr>
        <w:fldChar w:fldCharType="begin"/>
      </w:r>
      <w:r>
        <w:rPr>
          <w:rFonts w:hint="eastAsia" w:ascii="宋体" w:hAnsi="宋体" w:eastAsia="宋体" w:cs="宋体"/>
          <w:i w:val="0"/>
          <w:caps w:val="0"/>
          <w:color w:val="232323"/>
          <w:spacing w:val="0"/>
          <w:sz w:val="14"/>
          <w:szCs w:val="14"/>
          <w:u w:val="none"/>
          <w:bdr w:val="none" w:color="auto" w:sz="0" w:space="0"/>
        </w:rPr>
        <w:instrText xml:space="preserve"> HYPERLINK "http://www.afx.gov.cn/xxgk/zcwj/201601/javascript:void(0); return false;" </w:instrText>
      </w:r>
      <w:r>
        <w:rPr>
          <w:rFonts w:hint="eastAsia" w:ascii="宋体" w:hAnsi="宋体" w:eastAsia="宋体" w:cs="宋体"/>
          <w:i w:val="0"/>
          <w:caps w:val="0"/>
          <w:color w:val="232323"/>
          <w:spacing w:val="0"/>
          <w:sz w:val="14"/>
          <w:szCs w:val="14"/>
          <w:u w:val="none"/>
          <w:bdr w:val="none" w:color="auto" w:sz="0" w:space="0"/>
        </w:rPr>
        <w:fldChar w:fldCharType="separate"/>
      </w:r>
      <w:r>
        <w:rPr>
          <w:rStyle w:val="5"/>
          <w:rFonts w:hint="eastAsia" w:ascii="宋体" w:hAnsi="宋体" w:eastAsia="宋体" w:cs="宋体"/>
          <w:i w:val="0"/>
          <w:caps w:val="0"/>
          <w:color w:val="232323"/>
          <w:spacing w:val="0"/>
          <w:sz w:val="14"/>
          <w:szCs w:val="14"/>
          <w:u w:val="none"/>
          <w:bdr w:val="none" w:color="auto" w:sz="0" w:space="0"/>
        </w:rPr>
        <w:t>小</w:t>
      </w:r>
      <w:r>
        <w:rPr>
          <w:rFonts w:hint="eastAsia" w:ascii="宋体" w:hAnsi="宋体" w:eastAsia="宋体" w:cs="宋体"/>
          <w:i w:val="0"/>
          <w:caps w:val="0"/>
          <w:color w:val="232323"/>
          <w:spacing w:val="0"/>
          <w:sz w:val="14"/>
          <w:szCs w:val="14"/>
          <w:u w:val="none"/>
          <w:bdr w:val="none" w:color="auto" w:sz="0" w:space="0"/>
        </w:rPr>
        <w:fldChar w:fldCharType="end"/>
      </w:r>
      <w:r>
        <w:rPr>
          <w:rFonts w:hint="eastAsia" w:ascii="宋体" w:hAnsi="宋体" w:eastAsia="宋体" w:cs="宋体"/>
          <w:i w:val="0"/>
          <w:caps w:val="0"/>
          <w:color w:val="616161"/>
          <w:spacing w:val="0"/>
          <w:sz w:val="12"/>
          <w:szCs w:val="12"/>
          <w:bdr w:val="none" w:color="auto" w:sz="0" w:space="0"/>
        </w:rPr>
        <w:t>]</w:t>
      </w:r>
    </w:p>
    <w:p>
      <w:pPr>
        <w:keepNext w:val="0"/>
        <w:keepLines w:val="0"/>
        <w:widowControl/>
        <w:suppressLineNumbers w:val="0"/>
        <w:pBdr>
          <w:bottom w:val="none" w:color="auto" w:sz="0" w:space="0"/>
        </w:pBdr>
        <w:ind w:left="0" w:firstLine="0"/>
        <w:jc w:val="left"/>
        <w:rPr>
          <w:rFonts w:hint="eastAsia" w:ascii="宋体" w:hAnsi="宋体" w:eastAsia="宋体" w:cs="宋体"/>
          <w:i w:val="0"/>
          <w:caps w:val="0"/>
          <w:color w:val="000000"/>
          <w:spacing w:val="0"/>
          <w:sz w:val="14"/>
          <w:szCs w:val="14"/>
        </w:rPr>
      </w:pPr>
      <w:r>
        <w:rPr>
          <w:rFonts w:hint="eastAsia" w:ascii="宋体" w:hAnsi="宋体" w:eastAsia="宋体" w:cs="宋体"/>
          <w:i w:val="0"/>
          <w:caps w:val="0"/>
          <w:color w:val="616161"/>
          <w:spacing w:val="0"/>
          <w:kern w:val="0"/>
          <w:sz w:val="12"/>
          <w:szCs w:val="12"/>
          <w:bdr w:val="none" w:color="auto" w:sz="0" w:space="0"/>
          <w:lang w:val="en-US" w:eastAsia="zh-CN" w:bidi="ar"/>
        </w:rPr>
        <w:t>分享到：</w: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"http://www.afx.gov.cn/xxgk/zcwj/201601/t20160111_563738.htm" \o "分享到新浪微博"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"http://www.afx.gov.cn/xxgk/zcwj/201601/t20160111_563738.htm" \o "分享到腾讯微博"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"http://www.afx.gov.cn/xxgk/zcwj/201601/t20160111_563738.htm" \o "分享到微信"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武功山管委会，各乡镇人民政府，县直有关单位：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经县政府研究同意，现将《安福县山塘整治项目建设和资金管理实施细则》印发给你们，请认真贯彻执行。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right"/>
      </w:pPr>
      <w:r>
        <w:rPr>
          <w:rFonts w:hint="eastAsia" w:ascii="宋体" w:hAnsi="宋体" w:eastAsia="宋体" w:cs="宋体"/>
          <w:i w:val="0"/>
          <w:caps w:val="0"/>
          <w:color w:val="000000"/>
          <w:spacing w:val="0"/>
          <w:sz w:val="16"/>
          <w:szCs w:val="16"/>
          <w:bdr w:val="none" w:color="auto" w:sz="0" w:space="0"/>
        </w:rPr>
        <w:t>2015年12月15日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jc w:val="center"/>
      </w:pPr>
      <w:r>
        <w:rPr>
          <w:rFonts w:hint="eastAsia" w:ascii="宋体" w:hAnsi="宋体" w:eastAsia="宋体" w:cs="宋体"/>
          <w:i w:val="0"/>
          <w:caps w:val="0"/>
          <w:color w:val="000000"/>
          <w:spacing w:val="0"/>
          <w:sz w:val="16"/>
          <w:szCs w:val="16"/>
          <w:bdr w:val="none" w:color="auto" w:sz="0" w:space="0"/>
        </w:rPr>
        <w:t>安福县山塘整治项目建设和资金管理实施细则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第一条 为加强我县山塘整治项目的建设管理，规范建设工程项目的管理行为，提高资金使用效益和管理水平，根据《江西省农田水利条例》、《中央财政统筹从土地出让收益中计提的农田水利建设资金使用管理办法》和省水利厅、省财政厅《关于印发〈江西省山塘整治项目建设和资金管理办法〉的通知》(赣水农水字〔2015〕17号)等法律法规和相关文件，结合我县实际，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第二条 本实施细则适用于县级及以上财政补助资金实施的山塘整治项目。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本实施细则所称山塘整治项目，是指对总容积在1万立方米以上，10万立方米以下山塘的清淤、除险加固、完善配套主要附属设施的项目。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第三条 山塘整治实行“谁所有、谁整治”的原则，财政采取“民办公助、以奖代补、先建后补”的方式予以扶持。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按照山塘的权属关系，由山塘所有者作为项目业主承担山塘整治的实施和管护，对项目建设的工期、投资、质量安全等负责。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支持和鼓励村民委员会、村民小组、农民专业合作社、农民用水合作组织对山塘进行整治。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第四条 县水利局在山塘整治工作中，主要承担以下职能：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(一)负责组织对山塘进行现场访谈，开展安全综合评价;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(二)组织编制山塘整治项目的年度总体实施方案;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(三)指导对单座山塘按相关技术指南编制实施方案，批复实施方案;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(四)加强项目的技术指导、工程质量监督;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(五)组织做好项目验收工作。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县财政局主要承担以下职责：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(一)积极筹措项目资金;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(二)及时拨付项目补助资金，加强资金监管;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(三)对项目资金使用情况进行监督检查;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(四)配合做好项目申报及资金争取工作。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第五条 乡镇水利站在山塘整治工作中，主要承担以下职能：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(一)协助做好山塘现场访谈、安全综合评价以及项目实施方案编制;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(二)牵头开展项目乡镇申报，对项目及相关数据、现状情况的真实性负责;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(三)为山塘整治项目提供技术服务并实施质量监管;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(四)配合抓好项目验收。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第六条 山塘整治项目应当在县级政府批复的山塘整治规划内，严格履行山塘安全综合评价、方案编制、项目实施与管理、项目验收等程序。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第七条 山塘整治实行项目竞争性申报制，由乡镇组织项目业主申报，统筹考虑安全综合评价、项目业主积极性等相关因素，竞争立项。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申报程序：山塘业主向乡镇水利站提出竞争立项申请，乡镇水利站初步核实后，由乡镇人民政府向县水利部门提出山塘整治项目书面竞争立项申请，县水利部门根据立项申请到实地进行核实，确定全县山塘整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(二)书面申报材料包括：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1.竞争立项申请报告;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2.山塘业主“一事一议”材料;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3.山塘现状及病险隐患说明;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4.山塘现状照片(包括大坝平面布置、迎水坡、背水坡、溢洪道、放水涵管、上库道路等);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5.项目业主的积极性情况(包括书面承诺及签名)。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第八条 山塘整治应当遵循轻重缓急的原则。具备下列条件之一的，可以优先实施：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(一)山塘安全综合评价中列为三类的;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(二)承担农田灌溉任务或具有农村饮用水功能的山塘;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(三)乡镇政府和山塘整治项目业主积极性高，山塘业主经过“一事一议”能落实筹资投劳，乡镇水利站水利技术服务力量较强，山塘业主具有组织农民参与建设和承担建后管护责任的能力的。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第九条 山塘整治项目业主应当严格按照批复的山塘整治实施方案的要求进行施工，并根据工程建设的需要，加强对施工现场、安全生产、工程质量、建设资金、档案资料等方面的管理。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第十条 山塘整治项目建设内容的重大变更，由山塘整治项目业主提出申请变更，并将设计变更方案报县水利部门审批。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第十一条 山塘整治项目业主应按实施方案确定的时间完成项目建设任务，由乡镇政府组织水利站、村组进行自验，在自验的基础上，由乡镇水利站向县水利部门提出验收申请。验收申请材料应包括验收申请报告，乡镇水利站验收意见，乡镇政府验收意见，山塘整治建前、建中、建后照片，工程量结算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乡镇水利站提交了相关验收材料后，县水利局会同财政局组织技术人员按批准的实施方案对项目进行验收。项目验收合格后，县财政局根据县水利局提供的验收合格书、项目工程量、补助金额等材料，经审核后拨付补助资金。资金支付执行国库集中支付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第十二条 乡镇水利站负责本辖区内山塘整治项目的有关材料整理建档，并同时报送县水利部门有关材料备案。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第十三条 县财政局、县水利局要加强指导、监督检查山塘整治项目的建设资金使用与管理，确保专款专用。任何单位和个人不得以任何理由、任何形式截留、挤占或挪用。县水利局在山塘整治项目实施过程中对山塘放水平斜管、截水槽开挖、粘土斜墙铺设等影响山塘安全稳定的关键部位施工时，要派专门技术人员到施工现场指导和监督，确保山塘整治的工程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第十四条 对违反规定，截留挪用、虚报山塘整治项目骗取补助资金或其他违规行为，将扣减或取消补助资金;违反法律法规的，依法追究有关人员的责任。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第十五条 乡镇水利站应当建立山塘整治项目的建设信息报送制度，指定专人负责信息报送工作，及时将山塘整治项目建设情况上报县水利局。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第十六条 本办法自印发之日起执行。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第十七条 本办法由县水利局、县财政局负责解释。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抄送：县委办，县纪委办，县人大办，县政协办。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firstLine="420"/>
      </w:pPr>
      <w:r>
        <w:rPr>
          <w:rFonts w:hint="eastAsia" w:ascii="宋体" w:hAnsi="宋体" w:eastAsia="宋体" w:cs="宋体"/>
          <w:i w:val="0"/>
          <w:caps w:val="0"/>
          <w:color w:val="000000"/>
          <w:spacing w:val="0"/>
          <w:sz w:val="16"/>
          <w:szCs w:val="16"/>
          <w:bdr w:val="none" w:color="auto" w:sz="0" w:space="0"/>
        </w:rPr>
        <w:t>安福县人民政府办公室    2015年12月15日印发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E7882"/>
    <w:rsid w:val="37BE78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2018-05-12T12:38:00Z</dcterms:created>
  <dc:creator>huchunming</dc:creator>
  <cp:lastModifiedBy>huchunming</cp:lastModifiedBy>
  <dcterms:modified xsi:type="dcterms:W3CDTF">2018-05-12T12:38:26Z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