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D2C" w:rsidRDefault="00A47D2C" w:rsidP="00A47D2C">
      <w:pPr>
        <w:pStyle w:val="a3"/>
        <w:shd w:val="clear" w:color="auto" w:fill="FFFFFF"/>
        <w:spacing w:before="0" w:beforeAutospacing="0" w:after="0" w:afterAutospacing="0" w:line="480" w:lineRule="atLeast"/>
        <w:ind w:firstLine="480"/>
        <w:jc w:val="center"/>
        <w:rPr>
          <w:color w:val="000000"/>
        </w:rPr>
      </w:pPr>
      <w:r>
        <w:rPr>
          <w:rFonts w:ascii="微软雅黑" w:eastAsia="微软雅黑" w:hAnsi="微软雅黑" w:hint="eastAsia"/>
          <w:color w:val="000000"/>
          <w:sz w:val="36"/>
          <w:szCs w:val="36"/>
          <w:shd w:val="clear" w:color="auto" w:fill="FFFFFF"/>
        </w:rPr>
        <w:t>六枝特区人民政府关于支持民办教育加快发展的实施意见（试行）</w:t>
      </w:r>
      <w:r>
        <w:rPr>
          <w:rFonts w:hint="eastAsia"/>
          <w:color w:val="000000"/>
        </w:rPr>
        <w:t>六府发〔2016〕6号         </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各乡（镇）人民政府、社区服务中心，各园区管委会，特区人民政府各工作部门、各单位，区属及驻境省、市属行政企事业单位：</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民办教育是社会主义教育事业的重要组成部分，是教育事业发展的重要增长点和促进教育改革的重要力量。为深入贯彻落实《贵州省人民政府关于基本普及十五年教育的实施意见》（黔府发〔2015〕5号）和《中共六盘水市委六盘水市人民政府关于加快教育改革发展的实施意见》（六盘水党发〔2014〕24号），《六枝特区人民政府办公室关于印发六枝特区基本普及十五年教育实施方案的通知》（六府办发〔2015〕65号），根据《中华人民共和国民办教育促进法》、《贵州省民办教育促进条例》、《贵州省人民政府关于促进民办教育大发展的意见》（黔府发〔2011〕25号）和《市人民政府关于支持民办教育加快发展的实施意见（试行）》（六盘水府发〔2015〕13号）精神，结合我区实际，提出如下实施意见。</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一、基本原则</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（一）依法办学。全面贯彻“积极鼓励、优化服务、正确引导、依法监管”方针，在民办学校享有充分办学自主权的基础上，加强指导服务，依法管理，不断规范民办教育的办学行为。</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（二）合理布局。科学统筹，合理规划布局，妥善处理公办学校和民办学校之间规模、质量和效益的关系，进一步提高教育资源的使用效率，实现公办教育与民办教育协调、共同发展。</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三）扶优扶强。优化政策管理和服务环境，培植优质教育资源，努力实现民办教育的数量再扩张、质量再提高、结构再优化，重点扶持一批条件好、规模大、质量高的民办示范学校，以点带面，促进民办学校整体水平的提升。</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二、目标任务</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引导和促进民办教育内涵发展、特色发展、优质发展，办好一批高水平民办学校。引导和支持社会资金以多种形式举办民办学校，创新办学模式，鼓励省内</w:t>
      </w:r>
      <w:r>
        <w:rPr>
          <w:rFonts w:hint="eastAsia"/>
          <w:color w:val="000000"/>
        </w:rPr>
        <w:lastRenderedPageBreak/>
        <w:t>外名校集团化办学和联合办学，引进省内外优质教育资源到我区合作办学或独立办学，促进民办教育快速健康发展，确保民办教育占比逐年提高。在2014年全区民办教育占比6.24%的基础上，到2020年达到30%以上。</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——2015年至2017年，力争我区民办教育占比达到16%，在2014年底基础上提高10个百分点。</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——2018年至2020年，力争民办教育占比达到30%以上，在2017年底基础上提高14个百分点以上。</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三、扶持措施</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一）财政扶持。落实民办学校生均公用经费，按公办学校生均公用经费标准，全额拨付给受委托承担义务教育阶段任务的民办学校。从2016年起，参照市级财政在市级教育费附加中每年至少设立1000万元的标准，特区财政每年至少设立500万元民办教育发展专项资金。民办教育发展专项资金主要用于扶持被评定为优质、优良等级的民办学校发展，支持普惠性民办学校改善办学条件，支持民办学校教师队伍建设，支持社会信誉好、办学质量高的民办学校建设项目的贷款贴息。</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二）土地支持。优先保障民办教育建设用地。民办学校建设用地采取举办者按办学规模和生均占地面积标准申请，政府根据有关法律法规予以审核同意的方式取得。民办学校建设用地采用划拨或出让方式供地。根据投资规模、招生人数规模以及引进优质高端教育资源情况，特区相关部门、各乡（镇、社区）可根据国家有关规定采取无偿划拨或有偿划拨等方式给予优惠。鼓励民办学校依法以其它方式取得建设用地，民办学校用地不得改变使用用途。</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三）税费优惠。经地、市级以上人民政府或者同级政府的教育行政部门批准成立、国家承认其学员学历的民办学校（但不包括职业培训机构等国家不承认学历的教育机构），按国家规定享受税费优惠政策。民办学校列入规定招生计划的在籍学生提供学历教育劳务取得的收入，经有关部门审核批准，按规定标准收取的学费、住宿费、课本费、作业本费、伙食费、考试报名费收入免征营业税。超过规定收费标准的收费以及学校以各种名义收取的赞助费、择校费等超过规定范围的收入，不属于免征营业税的教育劳务收入，一律按规定征税。按照《省人</w:t>
      </w:r>
      <w:r>
        <w:rPr>
          <w:rFonts w:hint="eastAsia"/>
          <w:color w:val="000000"/>
        </w:rPr>
        <w:lastRenderedPageBreak/>
        <w:t>民政府关于促进民办教育大发展的意见》（黔府发〔2011〕25号）规定：符合国家规定的民办学校自用的房产和土地免征房产税和城镇土地使用税。</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（四）人事政策。</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1. 退休待遇。民办学校要根据《社会保险法》和国家相关政策规定，参加各项社会保险，由用人单位和个人按规定缴纳各项社会保险费，并享受相应的社会保险待遇。民办学校教师达到法定退休年龄时，基本养老保险缴费年限累计满15年的，由社会保险经办机构按企业职工基本养老保险制度核定基本养老金标准并按月足额发放。其中，经教育行政主管部门、人资社保部门审查批准，举办学历教育（含幼儿园）的民办学校教师，符合下列条件的，退休后享受同类公办学校教师退休待遇，基本养老金与同类公办学校退休教师工资的差额部分由同级财政补助，同级社保部门发放：（1）民办学校依法设立；（2）民办学校自行招聘报教育行政部门审查同意备案，并建立了人事档案，逐年考核合格；（3）在县域内的民办学校任教连续达到20年、累计达到25年及以上；（4）按规定按时足额缴纳社会保险费；（5）未违反国家法律法规和政策并达到法定退休年龄、符合退休条件。</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2. 教师成长待遇。民办学校聘用教师必须符合国家规定的条件，须与聘任的教职工签订劳动合同，明确双方的权利和义务，并报所在地教育行政部门备案。在我区民办学校任教的教师，被我区行政事业单位录（聘）用，符合规定条件的，工龄连续计算。民办学校教师在资格认定、职称评定、业务培训、教学活动、申请科研项目和课题等方面，享有与公办学校教师同等权利。</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3. 流动管理。凡公办学校管理者和教师由本人提出申请，经所在单位上级教育行政主管部门和同级人资社保部门批准同意，应聘到民办学校工作，且一直从事教育教学工作，年度考核为合格的，其原有教职工身份保持不变；在民办学校工作期间，其社会保险、住房公积金改由民办学校按所在地公办教师的标准缴纳；其工资由聘用学校解决，原档案工资作为调资、晋级、计算退休费用的依据，退休后回原学校享受同类退休教师待遇。</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五）投融资政策。积极鼓励、支持企事业单位、社会团体、其他社会组织和个人以非财政性资金、实物等有形资产和品牌形象、管理模式、土地使用权、知识产权等无形资产以及人力资源作为办学出资，独立举办、合资、PPP模式等</w:t>
      </w:r>
      <w:r>
        <w:rPr>
          <w:rFonts w:hint="eastAsia"/>
          <w:color w:val="000000"/>
        </w:rPr>
        <w:lastRenderedPageBreak/>
        <w:t>参与举办民办教育。鼓励、支持优质公办学校采取领办支持、指导合作、对口帮扶、委托管理、集团化办学等模式参与民办学校管理。金融机构应积极为民办学校提供信贷支持，开发适应民办学校发展的信贷服务项目和信贷品种，增加民办学校的融资方式和渠道。</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六）收费政策。按照《贵州省发展和改革委关于放开、下放第一批省级政府定价项目的通知》（黔发改监调〔2014〕2099号）精神，民办学校收费实行以市场为导向，学校自主定价，自觉接受社会监督和价格主管部门的检查。</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（七）以奖代补支持。</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1. 民办学校凡参照公办学校设置标准建设并达到招生规模的，经核定可采取各种扶持措施给予不高于建安投资规模20%的以奖代补扶持，用于办学支持等。</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建安投资规模在5000万元至1亿元以内的，由特区给予奖励；建安投资规模在1亿元以上的，由市县两级按3:7的比例给予奖励。</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2. 示范创建以奖代补。成功创建省、市、特区级示范性学校的给予一次性以奖代补资金补助。省级一类示范性高中，以奖代补资金500万元；省级二类示范性高中，以奖代补资金300万元；省级一类示范性幼儿园，以奖代补资金20万元；省级二类示范性幼儿园，以奖代补资金15万元；省级三类示范性幼儿园，以奖代补资金10万元；市级示范性幼儿园，以奖代补资金5万元；创建县级示范性幼儿园，以奖代补资金3万元。示范创建一次性以奖代补资金以最高等次计算，不能累加。省市级以奖代补资金市、县两级财政各承担50%。县级示范创建一次性以奖代补资金由特区财政独立承担。</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积极推荐上报中央、省、市对民办学校的其他专项奖补资金。当年获得中央、省、市、特区其他奖补资金的，三年内不再申报该专项奖补资金。</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3. 中小学办学质量目标考核扶持。</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（1）高中毕业质量监测考核。民办高中学校学生在该校有三年完整学籍，每录取二本1人，扶持学校资金100元；每录取一本1人，扶持学校资金200元。</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（2）初中毕业质量监测考核。对中考参考率在98%以上，连续2年无违规办学行为，且在特区范围内参加初中毕业质量监测考试学校中名列前三名的民办学校，分别给予一次性扶持资金15万、10万、5万元。</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lastRenderedPageBreak/>
        <w:t>（3）小学毕业质量监测考核。符合国家规定的班额标准和办学规模规定，在小学毕业质量监测中学生综合素质成绩位居特区范围内前三名的民办学校，分别给予一次性扶持资金8万、5万、3万元。</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民办学校目标考核工作由教育行政部门牵头，其他部门参与成立领导小组进行。中小学办学质量监测目标考核奖金用于学校办学，由同级财政承担。</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4. 信息化建设扶持。为加快民办学校信息化建设，提高教育信息化应用水平和教育教学质量，鼓励引进优质教育资源，特区将采取以奖代补的方式给予支持民办学校实现“宽带网络校校通、优质资源班班通、网络学习空间人人通”目标。</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四、组织保障</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一）加强组织领导。进一步明确责任，加强组织领导，成立六枝特区民办教育发展领导小组并建立联席会议制度，切实解决民办教育发展中的突出问题。特区教育、发展改革、财政、税务、人资社保、民政、国土资源、规划和城管、金融、市场监管以及各乡（镇）人民政府、社区服务中心等单位要形成合力，服务民办教育发展。</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二）强化督查考核。将民办教育发展工作纳入政府目标管理，作为对有关部门及乡（镇、社区）主要领导考核的重要内容。建立民办教育发展专项督导检查制度和民办学校督导评估制度，建立健全民办教育督导报告制度、约谈制度、奖惩制度、限期整改制度，实行督导制度、督导公报制度，实现扶持办学与规范办学相结合。</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三）完善民办学校准入和退出机制。严格按照标准审批新设置民办学校，现存尚未达到标准的民办学校要通过改造、合并等方法达标，逐步淘汰超过整改期限仍达不到标准的民办学校。民办学校停办后，按照属地原则，学生由教育部门妥善安置。</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四）强化舆论导向。营造有利于民办教育发展的社会氛围。依法依规及时查处侵害民办学校学生、教师、校长和举办者权益、扰乱教学秩序等行为。宣传部门要积极宣传报道促进民办教育发展的意义、法律法规，宣传党和政府发展民办教育的方针、政策，宣传发展民办教育的优秀典型和先进事迹，努力营造全社会共同关心、重视和支持民办教育发展的良好舆论氛围。</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lastRenderedPageBreak/>
        <w:t>五、本《实施意见》适用于六枝特区行政区域内的民办教育活动，自2016年1月20日起施行。此前如有与本实施意见不符的有关文件规定以本实施意见为准。</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                                                                                      2016年2月18日</w:t>
      </w:r>
    </w:p>
    <w:p w:rsidR="00A47D2C" w:rsidRDefault="00A47D2C" w:rsidP="00A47D2C">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(此件公开发布)</w:t>
      </w:r>
    </w:p>
    <w:p w:rsidR="0087182E" w:rsidRDefault="0087182E">
      <w:bookmarkStart w:id="0" w:name="_GoBack"/>
      <w:bookmarkEnd w:id="0"/>
    </w:p>
    <w:sectPr w:rsidR="00871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87"/>
    <w:rsid w:val="0087182E"/>
    <w:rsid w:val="00A47D2C"/>
    <w:rsid w:val="00F1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7D2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7D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27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2018-05-21T13:25:00Z</dcterms:created>
  <dcterms:modified xsi:type="dcterms:W3CDTF">2018-05-21T13:25:00Z</dcterms:modified>
</cp:coreProperties>
</file>