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117" w:rsidRPr="00DA4117" w:rsidRDefault="00DA4117" w:rsidP="00DA4117">
      <w:pPr>
        <w:widowControl/>
        <w:shd w:val="clear" w:color="auto" w:fill="FFFFFF"/>
        <w:spacing w:before="225"/>
        <w:jc w:val="center"/>
        <w:outlineLvl w:val="1"/>
        <w:rPr>
          <w:rFonts w:ascii="华文细黑" w:eastAsia="华文细黑" w:hAnsi="华文细黑" w:cs="Arial"/>
          <w:color w:val="2969B0"/>
          <w:kern w:val="0"/>
          <w:sz w:val="24"/>
          <w:szCs w:val="24"/>
        </w:rPr>
      </w:pPr>
      <w:bookmarkStart w:id="0" w:name="_GoBack"/>
      <w:r w:rsidRPr="00DA4117">
        <w:rPr>
          <w:rFonts w:ascii="华文细黑" w:eastAsia="华文细黑" w:hAnsi="华文细黑" w:cs="Arial"/>
          <w:color w:val="2969B0"/>
          <w:kern w:val="0"/>
          <w:sz w:val="24"/>
          <w:szCs w:val="24"/>
        </w:rPr>
        <w:t>弥勒市花卉产业园区招商引资优惠政策</w:t>
      </w:r>
    </w:p>
    <w:bookmarkEnd w:id="0"/>
    <w:p w:rsidR="00DA4117" w:rsidRPr="00DA4117" w:rsidRDefault="00DA4117" w:rsidP="00DA4117">
      <w:pPr>
        <w:widowControl/>
        <w:shd w:val="clear" w:color="auto" w:fill="FFFFFF"/>
        <w:spacing w:line="360" w:lineRule="atLeast"/>
        <w:jc w:val="left"/>
        <w:rPr>
          <w:rFonts w:ascii="华文细黑" w:eastAsia="华文细黑" w:hAnsi="华文细黑" w:cs="Arial"/>
          <w:color w:val="6A6A6A"/>
          <w:kern w:val="0"/>
          <w:sz w:val="24"/>
          <w:szCs w:val="24"/>
        </w:rPr>
      </w:pPr>
      <w:r w:rsidRPr="00DA4117">
        <w:rPr>
          <w:rFonts w:ascii="华文细黑" w:eastAsia="华文细黑" w:hAnsi="华文细黑" w:cs="Arial"/>
          <w:color w:val="6A6A6A"/>
          <w:kern w:val="0"/>
          <w:sz w:val="24"/>
          <w:szCs w:val="24"/>
        </w:rPr>
        <w:t>文章来源：</w:t>
      </w:r>
      <w:r w:rsidRPr="00DA4117">
        <w:rPr>
          <w:rFonts w:ascii="华文细黑" w:eastAsia="华文细黑" w:hAnsi="华文细黑" w:cs="Arial"/>
          <w:color w:val="5683BC"/>
          <w:kern w:val="0"/>
          <w:sz w:val="24"/>
          <w:szCs w:val="24"/>
        </w:rPr>
        <w:t>弥勒市招商局</w:t>
      </w:r>
    </w:p>
    <w:p w:rsidR="00DA4117" w:rsidRPr="00DA4117" w:rsidRDefault="00DA4117" w:rsidP="00DA4117">
      <w:pPr>
        <w:widowControl/>
        <w:shd w:val="clear" w:color="auto" w:fill="FFFFFF"/>
        <w:spacing w:line="360" w:lineRule="atLeast"/>
        <w:jc w:val="left"/>
        <w:rPr>
          <w:rFonts w:ascii="华文细黑" w:eastAsia="华文细黑" w:hAnsi="华文细黑" w:cs="Arial"/>
          <w:color w:val="6A6A6A"/>
          <w:kern w:val="0"/>
          <w:sz w:val="24"/>
          <w:szCs w:val="24"/>
        </w:rPr>
      </w:pPr>
      <w:r w:rsidRPr="00DA4117">
        <w:rPr>
          <w:rFonts w:ascii="华文细黑" w:eastAsia="华文细黑" w:hAnsi="华文细黑" w:cs="Arial"/>
          <w:color w:val="6A6A6A"/>
          <w:kern w:val="0"/>
          <w:sz w:val="24"/>
          <w:szCs w:val="24"/>
        </w:rPr>
        <w:t>作者：</w:t>
      </w:r>
    </w:p>
    <w:p w:rsidR="00DA4117" w:rsidRPr="00DA4117" w:rsidRDefault="00DA4117" w:rsidP="00DA4117">
      <w:pPr>
        <w:widowControl/>
        <w:shd w:val="clear" w:color="auto" w:fill="FFFFFF"/>
        <w:spacing w:line="360" w:lineRule="atLeast"/>
        <w:jc w:val="left"/>
        <w:rPr>
          <w:rFonts w:ascii="华文细黑" w:eastAsia="华文细黑" w:hAnsi="华文细黑" w:cs="Arial"/>
          <w:color w:val="6A6A6A"/>
          <w:kern w:val="0"/>
          <w:sz w:val="24"/>
          <w:szCs w:val="24"/>
        </w:rPr>
      </w:pPr>
      <w:r w:rsidRPr="00DA4117">
        <w:rPr>
          <w:rFonts w:ascii="华文细黑" w:eastAsia="华文细黑" w:hAnsi="华文细黑" w:cs="Arial"/>
          <w:color w:val="6A6A6A"/>
          <w:kern w:val="0"/>
          <w:sz w:val="24"/>
          <w:szCs w:val="24"/>
        </w:rPr>
        <w:t>发布日期：</w:t>
      </w:r>
      <w:r w:rsidRPr="00DA4117">
        <w:rPr>
          <w:rFonts w:ascii="华文细黑" w:eastAsia="华文细黑" w:hAnsi="华文细黑" w:cs="Arial"/>
          <w:color w:val="9A9A9A"/>
          <w:kern w:val="0"/>
          <w:sz w:val="24"/>
          <w:szCs w:val="24"/>
        </w:rPr>
        <w:t>2017/08/08</w:t>
      </w:r>
    </w:p>
    <w:p w:rsidR="00DA4117" w:rsidRPr="00DA4117" w:rsidRDefault="00DA4117" w:rsidP="00DA4117">
      <w:pPr>
        <w:widowControl/>
        <w:shd w:val="clear" w:color="auto" w:fill="FFFFFF"/>
        <w:spacing w:line="360" w:lineRule="atLeast"/>
        <w:jc w:val="left"/>
        <w:rPr>
          <w:rFonts w:ascii="华文细黑" w:eastAsia="华文细黑" w:hAnsi="华文细黑" w:cs="Arial"/>
          <w:color w:val="6A6A6A"/>
          <w:kern w:val="0"/>
          <w:sz w:val="24"/>
          <w:szCs w:val="24"/>
        </w:rPr>
      </w:pPr>
      <w:r w:rsidRPr="00DA4117">
        <w:rPr>
          <w:rFonts w:ascii="华文细黑" w:eastAsia="华文细黑" w:hAnsi="华文细黑" w:cs="Arial"/>
          <w:color w:val="6A6A6A"/>
          <w:kern w:val="0"/>
          <w:sz w:val="24"/>
          <w:szCs w:val="24"/>
        </w:rPr>
        <w:t>浏览次数：</w:t>
      </w:r>
      <w:r w:rsidRPr="00DA4117">
        <w:rPr>
          <w:rFonts w:ascii="华文细黑" w:eastAsia="华文细黑" w:hAnsi="华文细黑" w:cs="Arial"/>
          <w:color w:val="5683BC"/>
          <w:kern w:val="0"/>
          <w:sz w:val="24"/>
          <w:szCs w:val="24"/>
        </w:rPr>
        <w:t>88</w:t>
      </w:r>
    </w:p>
    <w:p w:rsidR="00DA4117" w:rsidRPr="00DA4117" w:rsidRDefault="00DA4117" w:rsidP="00DA4117">
      <w:pPr>
        <w:widowControl/>
        <w:shd w:val="clear" w:color="auto" w:fill="FFFFFF"/>
        <w:spacing w:line="330" w:lineRule="atLeast"/>
        <w:jc w:val="left"/>
        <w:rPr>
          <w:rFonts w:ascii="华文细黑" w:eastAsia="华文细黑" w:hAnsi="华文细黑" w:cs="宋体"/>
          <w:color w:val="000000"/>
          <w:kern w:val="0"/>
          <w:sz w:val="24"/>
          <w:szCs w:val="24"/>
        </w:rPr>
      </w:pPr>
      <w:hyperlink r:id="rId6" w:history="1">
        <w:r w:rsidRPr="00DA4117">
          <w:rPr>
            <w:rFonts w:ascii="华文细黑" w:eastAsia="华文细黑" w:hAnsi="华文细黑" w:cs="宋体"/>
            <w:color w:val="6A6A6A"/>
            <w:kern w:val="0"/>
            <w:sz w:val="24"/>
            <w:szCs w:val="24"/>
          </w:rPr>
          <w:t>大</w:t>
        </w:r>
      </w:hyperlink>
      <w:r w:rsidRPr="00DA4117">
        <w:rPr>
          <w:rFonts w:ascii="华文细黑" w:eastAsia="华文细黑" w:hAnsi="华文细黑" w:cs="宋体"/>
          <w:color w:val="000000"/>
          <w:kern w:val="0"/>
          <w:sz w:val="24"/>
          <w:szCs w:val="24"/>
        </w:rPr>
        <w:t> </w:t>
      </w:r>
      <w:hyperlink r:id="rId7" w:history="1">
        <w:r w:rsidRPr="00DA4117">
          <w:rPr>
            <w:rFonts w:ascii="华文细黑" w:eastAsia="华文细黑" w:hAnsi="华文细黑" w:cs="宋体"/>
            <w:color w:val="6A6A6A"/>
            <w:kern w:val="0"/>
            <w:sz w:val="24"/>
            <w:szCs w:val="24"/>
          </w:rPr>
          <w:t>中</w:t>
        </w:r>
      </w:hyperlink>
      <w:r w:rsidRPr="00DA4117">
        <w:rPr>
          <w:rFonts w:ascii="华文细黑" w:eastAsia="华文细黑" w:hAnsi="华文细黑" w:cs="宋体"/>
          <w:color w:val="000000"/>
          <w:kern w:val="0"/>
          <w:sz w:val="24"/>
          <w:szCs w:val="24"/>
        </w:rPr>
        <w:t> </w:t>
      </w:r>
      <w:hyperlink r:id="rId8" w:history="1">
        <w:r w:rsidRPr="00DA4117">
          <w:rPr>
            <w:rFonts w:ascii="华文细黑" w:eastAsia="华文细黑" w:hAnsi="华文细黑" w:cs="宋体"/>
            <w:color w:val="6A6A6A"/>
            <w:kern w:val="0"/>
            <w:sz w:val="24"/>
            <w:szCs w:val="24"/>
          </w:rPr>
          <w:t>小</w:t>
        </w:r>
      </w:hyperlink>
    </w:p>
    <w:p w:rsidR="00DA4117" w:rsidRPr="00DA4117" w:rsidRDefault="00DA4117" w:rsidP="00DA4117">
      <w:pPr>
        <w:widowControl/>
        <w:shd w:val="clear" w:color="auto" w:fill="FFFFFF"/>
        <w:jc w:val="left"/>
        <w:rPr>
          <w:rFonts w:ascii="华文细黑" w:eastAsia="华文细黑" w:hAnsi="华文细黑" w:cs="宋体"/>
          <w:color w:val="000000"/>
          <w:kern w:val="0"/>
          <w:sz w:val="24"/>
          <w:szCs w:val="24"/>
        </w:rPr>
      </w:pPr>
      <w:r w:rsidRPr="00DA4117">
        <w:rPr>
          <w:rFonts w:ascii="华文细黑" w:eastAsia="华文细黑" w:hAnsi="华文细黑" w:cs="宋体" w:hint="eastAsia"/>
          <w:color w:val="000000"/>
          <w:kern w:val="0"/>
          <w:sz w:val="24"/>
          <w:szCs w:val="24"/>
        </w:rPr>
        <w:t xml:space="preserve">　　为进一步促进弥勒市花卉产业的快速健康协调发展，鼓励花卉产业投资者到弥勒市投资兴业，根据国家和省州有关政策规定，结合实际，制定本优惠政策。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一、园区土地流转及基础设施建设政策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一）凡来弥勒市花卉产业园区投资新建花卉生产基地的企业，农业生产用地由市农投公司、项目所在地乡镇人民政府负责组织实施土地流转，再将土地等价（含青苗补偿款）流转给园区投资经营主体，款项兑付标准由镇人民政府行文报市人民政府批复。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二）凡来弥勒市花卉产业园区投资新建花卉生产基地、公共服务设施、科技研发中心及冷链物流中心的企业，项目建设用地由当地乡（镇）政府、市农科局、市国土局负责，帮助协调园区内经营主体生产设施、附属设施用地按照设施农用地办理，其他永久建设用地按农用地转用审批手续办理，按建设用地管理。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三）弥勒市切实加大花卉产业园区基础设施建设，由市农科局、市高特办、市农投公司负责协调每年州级安排的的高原特色农业发展专项资金及市级财政配套资金优先用于花卉园区基础设施建设，确保园区内“五通一平”。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lastRenderedPageBreak/>
        <w:t xml:space="preserve">　　（四）由市发改局负责协调途经弥勒的天然气管道在花卉产业园区内设置天然气输出口，确保进驻园区内的企业均可使用天然气。天然气管道未开通之前，允许企业使用锅炉加热。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（五）由市水务局向上级积极争取项目资金并配合市农科局及入驻企业负责实施花卉产业园区高效节水设施建设。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（六）由市农科局、市高特办负责向上级积极争取项目资金，扶持园区内经营主体发展。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二、土地政策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凡来弥勒市花卉产业园区投资新办花卉加工性企业，项目用地以招拍挂出让方式供应国有建设用地使用权的，国有建设用地使用权出让价格按照市场价全额缴入市财政，后根据项目的投资强度给予配套经费扶持。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对一次性固定资产投资额在3000万元—</w:t>
      </w:r>
      <w:r w:rsidRPr="00DA4117">
        <w:rPr>
          <w:rFonts w:ascii="华文细黑" w:eastAsia="华文细黑" w:hAnsi="华文细黑" w:cs="Calibri" w:hint="eastAsia"/>
          <w:color w:val="000000"/>
          <w:kern w:val="0"/>
          <w:sz w:val="24"/>
          <w:szCs w:val="24"/>
        </w:rPr>
        <w:t>1</w:t>
      </w:r>
      <w:r w:rsidRPr="00DA4117">
        <w:rPr>
          <w:rFonts w:ascii="华文细黑" w:eastAsia="华文细黑" w:hAnsi="华文细黑" w:cs="宋体" w:hint="eastAsia"/>
          <w:color w:val="000000"/>
          <w:kern w:val="0"/>
          <w:sz w:val="24"/>
          <w:szCs w:val="24"/>
        </w:rPr>
        <w:t>亿元（不含本数）、</w:t>
      </w:r>
      <w:r w:rsidRPr="00DA4117">
        <w:rPr>
          <w:rFonts w:ascii="华文细黑" w:eastAsia="华文细黑" w:hAnsi="华文细黑" w:cs="Calibri" w:hint="eastAsia"/>
          <w:color w:val="000000"/>
          <w:kern w:val="0"/>
          <w:sz w:val="24"/>
          <w:szCs w:val="24"/>
        </w:rPr>
        <w:t>1</w:t>
      </w:r>
      <w:r w:rsidRPr="00DA4117">
        <w:rPr>
          <w:rFonts w:ascii="华文细黑" w:eastAsia="华文细黑" w:hAnsi="华文细黑" w:cs="宋体" w:hint="eastAsia"/>
          <w:color w:val="000000"/>
          <w:kern w:val="0"/>
          <w:sz w:val="24"/>
          <w:szCs w:val="24"/>
        </w:rPr>
        <w:t>—</w:t>
      </w:r>
      <w:r w:rsidRPr="00DA4117">
        <w:rPr>
          <w:rFonts w:ascii="华文细黑" w:eastAsia="华文细黑" w:hAnsi="华文细黑" w:cs="Calibri" w:hint="eastAsia"/>
          <w:color w:val="000000"/>
          <w:kern w:val="0"/>
          <w:sz w:val="24"/>
          <w:szCs w:val="24"/>
        </w:rPr>
        <w:t>3</w:t>
      </w:r>
      <w:r w:rsidRPr="00DA4117">
        <w:rPr>
          <w:rFonts w:ascii="华文细黑" w:eastAsia="华文细黑" w:hAnsi="华文细黑" w:cs="宋体" w:hint="eastAsia"/>
          <w:color w:val="000000"/>
          <w:kern w:val="0"/>
          <w:sz w:val="24"/>
          <w:szCs w:val="24"/>
        </w:rPr>
        <w:t>亿元（不含本数）、</w:t>
      </w:r>
      <w:r w:rsidRPr="00DA4117">
        <w:rPr>
          <w:rFonts w:ascii="华文细黑" w:eastAsia="华文细黑" w:hAnsi="华文细黑" w:cs="Calibri" w:hint="eastAsia"/>
          <w:color w:val="000000"/>
          <w:kern w:val="0"/>
          <w:sz w:val="24"/>
          <w:szCs w:val="24"/>
        </w:rPr>
        <w:t>3</w:t>
      </w:r>
      <w:r w:rsidRPr="00DA4117">
        <w:rPr>
          <w:rFonts w:ascii="华文细黑" w:eastAsia="华文细黑" w:hAnsi="华文细黑" w:cs="宋体" w:hint="eastAsia"/>
          <w:color w:val="000000"/>
          <w:kern w:val="0"/>
          <w:sz w:val="24"/>
          <w:szCs w:val="24"/>
        </w:rPr>
        <w:t>—</w:t>
      </w:r>
      <w:r w:rsidRPr="00DA4117">
        <w:rPr>
          <w:rFonts w:ascii="华文细黑" w:eastAsia="华文细黑" w:hAnsi="华文细黑" w:cs="Calibri" w:hint="eastAsia"/>
          <w:color w:val="000000"/>
          <w:kern w:val="0"/>
          <w:sz w:val="24"/>
          <w:szCs w:val="24"/>
        </w:rPr>
        <w:t>5</w:t>
      </w:r>
      <w:r w:rsidRPr="00DA4117">
        <w:rPr>
          <w:rFonts w:ascii="华文细黑" w:eastAsia="华文细黑" w:hAnsi="华文细黑" w:cs="宋体" w:hint="eastAsia"/>
          <w:color w:val="000000"/>
          <w:kern w:val="0"/>
          <w:sz w:val="24"/>
          <w:szCs w:val="24"/>
        </w:rPr>
        <w:t>亿元（不含本数）、</w:t>
      </w:r>
      <w:r w:rsidRPr="00DA4117">
        <w:rPr>
          <w:rFonts w:ascii="华文细黑" w:eastAsia="华文细黑" w:hAnsi="华文细黑" w:cs="Calibri" w:hint="eastAsia"/>
          <w:color w:val="000000"/>
          <w:kern w:val="0"/>
          <w:sz w:val="24"/>
          <w:szCs w:val="24"/>
        </w:rPr>
        <w:t>5</w:t>
      </w:r>
      <w:r w:rsidRPr="00DA4117">
        <w:rPr>
          <w:rFonts w:ascii="华文细黑" w:eastAsia="华文细黑" w:hAnsi="华文细黑" w:cs="宋体" w:hint="eastAsia"/>
          <w:color w:val="000000"/>
          <w:kern w:val="0"/>
          <w:sz w:val="24"/>
          <w:szCs w:val="24"/>
        </w:rPr>
        <w:t>亿元及以上（含本数）的项目，扶持经费分别按土地成本价的</w:t>
      </w:r>
      <w:r w:rsidRPr="00DA4117">
        <w:rPr>
          <w:rFonts w:ascii="华文细黑" w:eastAsia="华文细黑" w:hAnsi="华文细黑" w:cs="Calibri" w:hint="eastAsia"/>
          <w:color w:val="000000"/>
          <w:kern w:val="0"/>
          <w:sz w:val="24"/>
          <w:szCs w:val="24"/>
        </w:rPr>
        <w:t>30%</w:t>
      </w:r>
      <w:r w:rsidRPr="00DA4117">
        <w:rPr>
          <w:rFonts w:ascii="华文细黑" w:eastAsia="华文细黑" w:hAnsi="华文细黑" w:cs="宋体" w:hint="eastAsia"/>
          <w:color w:val="000000"/>
          <w:kern w:val="0"/>
          <w:sz w:val="24"/>
          <w:szCs w:val="24"/>
        </w:rPr>
        <w:t>、</w:t>
      </w:r>
      <w:r w:rsidRPr="00DA4117">
        <w:rPr>
          <w:rFonts w:ascii="华文细黑" w:eastAsia="华文细黑" w:hAnsi="华文细黑" w:cs="Calibri" w:hint="eastAsia"/>
          <w:color w:val="000000"/>
          <w:kern w:val="0"/>
          <w:sz w:val="24"/>
          <w:szCs w:val="24"/>
        </w:rPr>
        <w:t>40%</w:t>
      </w:r>
      <w:r w:rsidRPr="00DA4117">
        <w:rPr>
          <w:rFonts w:ascii="华文细黑" w:eastAsia="华文细黑" w:hAnsi="华文细黑" w:cs="宋体" w:hint="eastAsia"/>
          <w:color w:val="000000"/>
          <w:kern w:val="0"/>
          <w:sz w:val="24"/>
          <w:szCs w:val="24"/>
        </w:rPr>
        <w:t>、</w:t>
      </w:r>
      <w:r w:rsidRPr="00DA4117">
        <w:rPr>
          <w:rFonts w:ascii="华文细黑" w:eastAsia="华文细黑" w:hAnsi="华文细黑" w:cs="Calibri" w:hint="eastAsia"/>
          <w:color w:val="000000"/>
          <w:kern w:val="0"/>
          <w:sz w:val="24"/>
          <w:szCs w:val="24"/>
        </w:rPr>
        <w:t>50%</w:t>
      </w:r>
      <w:r w:rsidRPr="00DA4117">
        <w:rPr>
          <w:rFonts w:ascii="华文细黑" w:eastAsia="华文细黑" w:hAnsi="华文细黑" w:cs="宋体" w:hint="eastAsia"/>
          <w:color w:val="000000"/>
          <w:kern w:val="0"/>
          <w:sz w:val="24"/>
          <w:szCs w:val="24"/>
        </w:rPr>
        <w:t>、</w:t>
      </w:r>
      <w:r w:rsidRPr="00DA4117">
        <w:rPr>
          <w:rFonts w:ascii="华文细黑" w:eastAsia="华文细黑" w:hAnsi="华文细黑" w:cs="Calibri" w:hint="eastAsia"/>
          <w:color w:val="000000"/>
          <w:kern w:val="0"/>
          <w:sz w:val="24"/>
          <w:szCs w:val="24"/>
        </w:rPr>
        <w:t>60%</w:t>
      </w:r>
      <w:r w:rsidRPr="00DA4117">
        <w:rPr>
          <w:rFonts w:ascii="华文细黑" w:eastAsia="华文细黑" w:hAnsi="华文细黑" w:cs="宋体" w:hint="eastAsia"/>
          <w:color w:val="000000"/>
          <w:kern w:val="0"/>
          <w:sz w:val="24"/>
          <w:szCs w:val="24"/>
        </w:rPr>
        <w:t>配套，用于扶持企业发展。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三、财税政策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（一）凡到弥勒市花卉产业园区投资新办花卉加工性企业，市财政按照以下标准给予项目资金扶持，用于企业节能减排、科技研发、技术改造等。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固定资产投资额在3000万元—</w:t>
      </w:r>
      <w:r w:rsidRPr="00DA4117">
        <w:rPr>
          <w:rFonts w:ascii="华文细黑" w:eastAsia="华文细黑" w:hAnsi="华文细黑" w:cs="Calibri" w:hint="eastAsia"/>
          <w:color w:val="000000"/>
          <w:kern w:val="0"/>
          <w:sz w:val="24"/>
          <w:szCs w:val="24"/>
        </w:rPr>
        <w:t>1</w:t>
      </w:r>
      <w:r w:rsidRPr="00DA4117">
        <w:rPr>
          <w:rFonts w:ascii="华文细黑" w:eastAsia="华文细黑" w:hAnsi="华文细黑" w:cs="宋体" w:hint="eastAsia"/>
          <w:color w:val="000000"/>
          <w:kern w:val="0"/>
          <w:sz w:val="24"/>
          <w:szCs w:val="24"/>
        </w:rPr>
        <w:t>亿元（不含本数）、</w:t>
      </w:r>
      <w:r w:rsidRPr="00DA4117">
        <w:rPr>
          <w:rFonts w:ascii="华文细黑" w:eastAsia="华文细黑" w:hAnsi="华文细黑" w:cs="Calibri" w:hint="eastAsia"/>
          <w:color w:val="000000"/>
          <w:kern w:val="0"/>
          <w:sz w:val="24"/>
          <w:szCs w:val="24"/>
        </w:rPr>
        <w:t>1</w:t>
      </w:r>
      <w:r w:rsidRPr="00DA4117">
        <w:rPr>
          <w:rFonts w:ascii="华文细黑" w:eastAsia="华文细黑" w:hAnsi="华文细黑" w:cs="宋体" w:hint="eastAsia"/>
          <w:color w:val="000000"/>
          <w:kern w:val="0"/>
          <w:sz w:val="24"/>
          <w:szCs w:val="24"/>
        </w:rPr>
        <w:t>—</w:t>
      </w:r>
      <w:r w:rsidRPr="00DA4117">
        <w:rPr>
          <w:rFonts w:ascii="华文细黑" w:eastAsia="华文细黑" w:hAnsi="华文细黑" w:cs="Calibri" w:hint="eastAsia"/>
          <w:color w:val="000000"/>
          <w:kern w:val="0"/>
          <w:sz w:val="24"/>
          <w:szCs w:val="24"/>
        </w:rPr>
        <w:t>3</w:t>
      </w:r>
      <w:r w:rsidRPr="00DA4117">
        <w:rPr>
          <w:rFonts w:ascii="华文细黑" w:eastAsia="华文细黑" w:hAnsi="华文细黑" w:cs="宋体" w:hint="eastAsia"/>
          <w:color w:val="000000"/>
          <w:kern w:val="0"/>
          <w:sz w:val="24"/>
          <w:szCs w:val="24"/>
        </w:rPr>
        <w:t>亿元（不含本数）、</w:t>
      </w:r>
      <w:r w:rsidRPr="00DA4117">
        <w:rPr>
          <w:rFonts w:ascii="华文细黑" w:eastAsia="华文细黑" w:hAnsi="华文细黑" w:cs="Calibri" w:hint="eastAsia"/>
          <w:color w:val="000000"/>
          <w:kern w:val="0"/>
          <w:sz w:val="24"/>
          <w:szCs w:val="24"/>
        </w:rPr>
        <w:t>3</w:t>
      </w:r>
      <w:r w:rsidRPr="00DA4117">
        <w:rPr>
          <w:rFonts w:ascii="华文细黑" w:eastAsia="华文细黑" w:hAnsi="华文细黑" w:cs="宋体" w:hint="eastAsia"/>
          <w:color w:val="000000"/>
          <w:kern w:val="0"/>
          <w:sz w:val="24"/>
          <w:szCs w:val="24"/>
        </w:rPr>
        <w:t>—</w:t>
      </w:r>
      <w:r w:rsidRPr="00DA4117">
        <w:rPr>
          <w:rFonts w:ascii="华文细黑" w:eastAsia="华文细黑" w:hAnsi="华文细黑" w:cs="Calibri" w:hint="eastAsia"/>
          <w:color w:val="000000"/>
          <w:kern w:val="0"/>
          <w:sz w:val="24"/>
          <w:szCs w:val="24"/>
        </w:rPr>
        <w:t>5</w:t>
      </w:r>
      <w:r w:rsidRPr="00DA4117">
        <w:rPr>
          <w:rFonts w:ascii="华文细黑" w:eastAsia="华文细黑" w:hAnsi="华文细黑" w:cs="宋体" w:hint="eastAsia"/>
          <w:color w:val="000000"/>
          <w:kern w:val="0"/>
          <w:sz w:val="24"/>
          <w:szCs w:val="24"/>
        </w:rPr>
        <w:t>亿元（不含本数）、</w:t>
      </w:r>
      <w:r w:rsidRPr="00DA4117">
        <w:rPr>
          <w:rFonts w:ascii="华文细黑" w:eastAsia="华文细黑" w:hAnsi="华文细黑" w:cs="Calibri" w:hint="eastAsia"/>
          <w:color w:val="000000"/>
          <w:kern w:val="0"/>
          <w:sz w:val="24"/>
          <w:szCs w:val="24"/>
        </w:rPr>
        <w:t>5</w:t>
      </w:r>
      <w:r w:rsidRPr="00DA4117">
        <w:rPr>
          <w:rFonts w:ascii="华文细黑" w:eastAsia="华文细黑" w:hAnsi="华文细黑" w:cs="宋体" w:hint="eastAsia"/>
          <w:color w:val="000000"/>
          <w:kern w:val="0"/>
          <w:sz w:val="24"/>
          <w:szCs w:val="24"/>
        </w:rPr>
        <w:t>亿元及以上（含本数）的工业企业项目（前述投资均不包含土地价格），自投产纳税之日起两年内，分别按企业当年实际上缴增值税市级留成部分的</w:t>
      </w:r>
      <w:r w:rsidRPr="00DA4117">
        <w:rPr>
          <w:rFonts w:ascii="华文细黑" w:eastAsia="华文细黑" w:hAnsi="华文细黑" w:cs="Calibri" w:hint="eastAsia"/>
          <w:color w:val="000000"/>
          <w:kern w:val="0"/>
          <w:sz w:val="24"/>
          <w:szCs w:val="24"/>
        </w:rPr>
        <w:t>30%</w:t>
      </w:r>
      <w:r w:rsidRPr="00DA4117">
        <w:rPr>
          <w:rFonts w:ascii="华文细黑" w:eastAsia="华文细黑" w:hAnsi="华文细黑" w:cs="宋体" w:hint="eastAsia"/>
          <w:color w:val="000000"/>
          <w:kern w:val="0"/>
          <w:sz w:val="24"/>
          <w:szCs w:val="24"/>
        </w:rPr>
        <w:t>、</w:t>
      </w:r>
      <w:r w:rsidRPr="00DA4117">
        <w:rPr>
          <w:rFonts w:ascii="华文细黑" w:eastAsia="华文细黑" w:hAnsi="华文细黑" w:cs="Calibri" w:hint="eastAsia"/>
          <w:color w:val="000000"/>
          <w:kern w:val="0"/>
          <w:sz w:val="24"/>
          <w:szCs w:val="24"/>
        </w:rPr>
        <w:t>40%</w:t>
      </w:r>
      <w:r w:rsidRPr="00DA4117">
        <w:rPr>
          <w:rFonts w:ascii="华文细黑" w:eastAsia="华文细黑" w:hAnsi="华文细黑" w:cs="宋体" w:hint="eastAsia"/>
          <w:color w:val="000000"/>
          <w:kern w:val="0"/>
          <w:sz w:val="24"/>
          <w:szCs w:val="24"/>
        </w:rPr>
        <w:t>、</w:t>
      </w:r>
      <w:r w:rsidRPr="00DA4117">
        <w:rPr>
          <w:rFonts w:ascii="华文细黑" w:eastAsia="华文细黑" w:hAnsi="华文细黑" w:cs="Calibri" w:hint="eastAsia"/>
          <w:color w:val="000000"/>
          <w:kern w:val="0"/>
          <w:sz w:val="24"/>
          <w:szCs w:val="24"/>
        </w:rPr>
        <w:t>50%</w:t>
      </w:r>
      <w:r w:rsidRPr="00DA4117">
        <w:rPr>
          <w:rFonts w:ascii="华文细黑" w:eastAsia="华文细黑" w:hAnsi="华文细黑" w:cs="宋体" w:hint="eastAsia"/>
          <w:color w:val="000000"/>
          <w:kern w:val="0"/>
          <w:sz w:val="24"/>
          <w:szCs w:val="24"/>
        </w:rPr>
        <w:t>、</w:t>
      </w:r>
      <w:r w:rsidRPr="00DA4117">
        <w:rPr>
          <w:rFonts w:ascii="华文细黑" w:eastAsia="华文细黑" w:hAnsi="华文细黑" w:cs="Calibri" w:hint="eastAsia"/>
          <w:color w:val="000000"/>
          <w:kern w:val="0"/>
          <w:sz w:val="24"/>
          <w:szCs w:val="24"/>
        </w:rPr>
        <w:t>60%</w:t>
      </w:r>
      <w:r w:rsidRPr="00DA4117">
        <w:rPr>
          <w:rFonts w:ascii="华文细黑" w:eastAsia="华文细黑" w:hAnsi="华文细黑" w:cs="宋体" w:hint="eastAsia"/>
          <w:color w:val="000000"/>
          <w:kern w:val="0"/>
          <w:sz w:val="24"/>
          <w:szCs w:val="24"/>
        </w:rPr>
        <w:t>用于扶持企业发展。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lastRenderedPageBreak/>
        <w:t xml:space="preserve">　　固定资产投资额在3000万元（不包含土地价格）以上的花卉加工型企业项目，自投产纳税之日起，企业所得税市级留成部分前两年全额用于扶持企业发展，后三年</w:t>
      </w:r>
      <w:r w:rsidRPr="00DA4117">
        <w:rPr>
          <w:rFonts w:ascii="华文细黑" w:eastAsia="华文细黑" w:hAnsi="华文细黑" w:cs="Calibri" w:hint="eastAsia"/>
          <w:color w:val="000000"/>
          <w:kern w:val="0"/>
          <w:sz w:val="24"/>
          <w:szCs w:val="24"/>
        </w:rPr>
        <w:t>50%</w:t>
      </w:r>
      <w:r w:rsidRPr="00DA4117">
        <w:rPr>
          <w:rFonts w:ascii="华文细黑" w:eastAsia="华文细黑" w:hAnsi="华文细黑" w:cs="宋体" w:hint="eastAsia"/>
          <w:color w:val="000000"/>
          <w:kern w:val="0"/>
          <w:sz w:val="24"/>
          <w:szCs w:val="24"/>
        </w:rPr>
        <w:t>用于扶持企业发展。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（二）在花卉产业园区投资新办商贸、金融、文化旅游（地产除外）、技术研发、信息产业、创意产业、物流等产业项目，固定资产投资3000万元以上或营业收入超过</w:t>
      </w:r>
      <w:r w:rsidRPr="00DA4117">
        <w:rPr>
          <w:rFonts w:ascii="华文细黑" w:eastAsia="华文细黑" w:hAnsi="华文细黑" w:cs="Calibri" w:hint="eastAsia"/>
          <w:color w:val="000000"/>
          <w:kern w:val="0"/>
          <w:sz w:val="24"/>
          <w:szCs w:val="24"/>
        </w:rPr>
        <w:t>5000</w:t>
      </w:r>
      <w:r w:rsidRPr="00DA4117">
        <w:rPr>
          <w:rFonts w:ascii="华文细黑" w:eastAsia="华文细黑" w:hAnsi="华文细黑" w:cs="宋体" w:hint="eastAsia"/>
          <w:color w:val="000000"/>
          <w:kern w:val="0"/>
          <w:sz w:val="24"/>
          <w:szCs w:val="24"/>
        </w:rPr>
        <w:t>万元的，自投产纳税之日起，前两年按税收（增值税、企业所得税）总额市级留成部分的</w:t>
      </w:r>
      <w:r w:rsidRPr="00DA4117">
        <w:rPr>
          <w:rFonts w:ascii="华文细黑" w:eastAsia="华文细黑" w:hAnsi="华文细黑" w:cs="Calibri" w:hint="eastAsia"/>
          <w:color w:val="000000"/>
          <w:kern w:val="0"/>
          <w:sz w:val="24"/>
          <w:szCs w:val="24"/>
        </w:rPr>
        <w:t>70%</w:t>
      </w:r>
      <w:r w:rsidRPr="00DA4117">
        <w:rPr>
          <w:rFonts w:ascii="华文细黑" w:eastAsia="华文细黑" w:hAnsi="华文细黑" w:cs="宋体" w:hint="eastAsia"/>
          <w:color w:val="000000"/>
          <w:kern w:val="0"/>
          <w:sz w:val="24"/>
          <w:szCs w:val="24"/>
        </w:rPr>
        <w:t>给予奖励，后三年按税收（增值税、企业所得税）总额市级留成部分的</w:t>
      </w:r>
      <w:r w:rsidRPr="00DA4117">
        <w:rPr>
          <w:rFonts w:ascii="华文细黑" w:eastAsia="华文细黑" w:hAnsi="华文细黑" w:cs="Calibri" w:hint="eastAsia"/>
          <w:color w:val="000000"/>
          <w:kern w:val="0"/>
          <w:sz w:val="24"/>
          <w:szCs w:val="24"/>
        </w:rPr>
        <w:t>50%</w:t>
      </w:r>
      <w:r w:rsidRPr="00DA4117">
        <w:rPr>
          <w:rFonts w:ascii="华文细黑" w:eastAsia="华文细黑" w:hAnsi="华文细黑" w:cs="宋体" w:hint="eastAsia"/>
          <w:color w:val="000000"/>
          <w:kern w:val="0"/>
          <w:sz w:val="24"/>
          <w:szCs w:val="24"/>
        </w:rPr>
        <w:t>给予奖励，用于扶持企业发展。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（三）对世界500强、国内</w:t>
      </w:r>
      <w:r w:rsidRPr="00DA4117">
        <w:rPr>
          <w:rFonts w:ascii="华文细黑" w:eastAsia="华文细黑" w:hAnsi="华文细黑" w:cs="Calibri" w:hint="eastAsia"/>
          <w:color w:val="000000"/>
          <w:kern w:val="0"/>
          <w:sz w:val="24"/>
          <w:szCs w:val="24"/>
        </w:rPr>
        <w:t>500</w:t>
      </w:r>
      <w:r w:rsidRPr="00DA4117">
        <w:rPr>
          <w:rFonts w:ascii="华文细黑" w:eastAsia="华文细黑" w:hAnsi="华文细黑" w:cs="宋体" w:hint="eastAsia"/>
          <w:color w:val="000000"/>
          <w:kern w:val="0"/>
          <w:sz w:val="24"/>
          <w:szCs w:val="24"/>
        </w:rPr>
        <w:t>强等大企业、大集团到弥勒市花卉产业园区设立总部、地区总部、职能运营中心、研发中心、采购中心、营销中心、结算中心，或将上述机构注册在弥勒市的总部性企业，从其在弥勒市注册登记之日起，五年内按税收（增值税、企业所得税）总额市级留成部分的</w:t>
      </w:r>
      <w:r w:rsidRPr="00DA4117">
        <w:rPr>
          <w:rFonts w:ascii="华文细黑" w:eastAsia="华文细黑" w:hAnsi="华文细黑" w:cs="Calibri" w:hint="eastAsia"/>
          <w:color w:val="000000"/>
          <w:kern w:val="0"/>
          <w:sz w:val="24"/>
          <w:szCs w:val="24"/>
        </w:rPr>
        <w:t>50</w:t>
      </w:r>
      <w:r w:rsidRPr="00DA4117">
        <w:rPr>
          <w:rFonts w:ascii="华文细黑" w:eastAsia="华文细黑" w:hAnsi="华文细黑" w:cs="宋体" w:hint="eastAsia"/>
          <w:color w:val="000000"/>
          <w:kern w:val="0"/>
          <w:sz w:val="24"/>
          <w:szCs w:val="24"/>
        </w:rPr>
        <w:t>％奖励企业。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四、收费政策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对所有涉及外来投资企业的行政事业性收费项目，除国家省州有明确规定和弥勒市有特殊规定的，均按最低下限征收。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五、投资环境和服务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（一）园区新建项目实行联合审批：项目由市发改局、市工信局牵头按程序备案，备案项目办理时限不超过3个工作日。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（二）开通“绿色通道”，保障园区重点项目落地。市住建、规划、市场管理、国土、环保等部门对园区新建重点项目要提前介入，最大限度地减少环</w:t>
      </w:r>
      <w:r w:rsidRPr="00DA4117">
        <w:rPr>
          <w:rFonts w:ascii="华文细黑" w:eastAsia="华文细黑" w:hAnsi="华文细黑" w:cs="宋体" w:hint="eastAsia"/>
          <w:color w:val="000000"/>
          <w:kern w:val="0"/>
          <w:sz w:val="24"/>
          <w:szCs w:val="24"/>
        </w:rPr>
        <w:lastRenderedPageBreak/>
        <w:t>节、简化程序、缩短时限，做好各项先期管理和服务工作，支持项目尽早开工建设。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三）园区新建项目实行全程代办服务制。除国家、省级审批确需投资方自行办理外，市政务服务中心及各相关部门要协助项目单位做好项目建设的前期准备工作，一次性告知项目单位审批条件和审批程序，以及应补充完善的审批材料，做好全程代办服务。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（四）外来投资者在办理户口、子女入托就学等方面与本市市民享受同等待遇。企业高管薪酬（在弥勒任职期间）征收的个人所得税，市级留成部分全额用于奖励本人。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（五）外来投资企业所需的水、电、气、运输、通讯等条件，有关部门优先安排，收费按当地标准执行。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六、其他事项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（一）市政府在市监察局设立市外商企业投诉中心并设举报电话（0873—</w:t>
      </w:r>
      <w:r w:rsidRPr="00DA4117">
        <w:rPr>
          <w:rFonts w:ascii="华文细黑" w:eastAsia="华文细黑" w:hAnsi="华文细黑" w:cs="Calibri" w:hint="eastAsia"/>
          <w:color w:val="000000"/>
          <w:kern w:val="0"/>
          <w:sz w:val="24"/>
          <w:szCs w:val="24"/>
        </w:rPr>
        <w:t>6122585</w:t>
      </w:r>
      <w:r w:rsidRPr="00DA4117">
        <w:rPr>
          <w:rFonts w:ascii="华文细黑" w:eastAsia="华文细黑" w:hAnsi="华文细黑" w:cs="宋体" w:hint="eastAsia"/>
          <w:color w:val="000000"/>
          <w:kern w:val="0"/>
          <w:sz w:val="24"/>
          <w:szCs w:val="24"/>
        </w:rPr>
        <w:t>），建立健全行政效能监督考核机制，为投资者提供优质服务。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（二）对于投资超过10亿元的花卉产业园区新建项目或国内外知名品牌以及高新技术企业来弥勒市投资花卉产业项目的，实行“一企一策”、“特事特办”的方式，另行议定鼓励、激励政策。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（三）凡投资符合《国家产业结构调整指导目录》（当年）中鼓励类的项目，积极帮助申请国家专项资金扶持。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（四）除享受本级财政扶持政策外，符合上级政府或税务部门的税收优惠条件或资格的，均可按照规定享受相关优惠政策。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lastRenderedPageBreak/>
        <w:t xml:space="preserve">　　（五）优惠政策的兑现，由市招商引资工作委员会办公室认定后提出意见，相关部门按规定负责办理。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本政策由市招商引资工作委员会办公室、弥勒市农业和科学技术局办公室负责解释。 </w:t>
      </w:r>
    </w:p>
    <w:p w:rsidR="00DA4117" w:rsidRPr="00DA4117" w:rsidRDefault="00DA4117" w:rsidP="00DA4117">
      <w:pPr>
        <w:widowControl/>
        <w:shd w:val="clear" w:color="auto" w:fill="FFFFFF"/>
        <w:jc w:val="left"/>
        <w:rPr>
          <w:rFonts w:ascii="华文细黑" w:eastAsia="华文细黑" w:hAnsi="华文细黑" w:cs="宋体" w:hint="eastAsia"/>
          <w:color w:val="000000"/>
          <w:kern w:val="0"/>
          <w:sz w:val="24"/>
          <w:szCs w:val="24"/>
        </w:rPr>
      </w:pPr>
      <w:r w:rsidRPr="00DA4117">
        <w:rPr>
          <w:rFonts w:ascii="华文细黑" w:eastAsia="华文细黑" w:hAnsi="华文细黑" w:cs="宋体" w:hint="eastAsia"/>
          <w:color w:val="000000"/>
          <w:kern w:val="0"/>
          <w:sz w:val="24"/>
          <w:szCs w:val="24"/>
        </w:rPr>
        <w:t xml:space="preserve">　　本政策自公布之日起执行。 </w:t>
      </w:r>
    </w:p>
    <w:p w:rsidR="00251689" w:rsidRPr="00DA4117" w:rsidRDefault="00251689">
      <w:pPr>
        <w:rPr>
          <w:rFonts w:ascii="华文细黑" w:eastAsia="华文细黑" w:hAnsi="华文细黑"/>
          <w:sz w:val="24"/>
          <w:szCs w:val="24"/>
        </w:rPr>
      </w:pPr>
    </w:p>
    <w:sectPr w:rsidR="00251689" w:rsidRPr="00DA41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996" w:rsidRDefault="00697996" w:rsidP="00DA4117">
      <w:r>
        <w:separator/>
      </w:r>
    </w:p>
  </w:endnote>
  <w:endnote w:type="continuationSeparator" w:id="0">
    <w:p w:rsidR="00697996" w:rsidRDefault="00697996" w:rsidP="00DA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996" w:rsidRDefault="00697996" w:rsidP="00DA4117">
      <w:r>
        <w:separator/>
      </w:r>
    </w:p>
  </w:footnote>
  <w:footnote w:type="continuationSeparator" w:id="0">
    <w:p w:rsidR="00697996" w:rsidRDefault="00697996" w:rsidP="00DA4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48"/>
    <w:rsid w:val="000A1248"/>
    <w:rsid w:val="00251689"/>
    <w:rsid w:val="00697996"/>
    <w:rsid w:val="00DA4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EB7183-6EC3-4886-8A27-4171BBB2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A411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4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4117"/>
    <w:rPr>
      <w:sz w:val="18"/>
      <w:szCs w:val="18"/>
    </w:rPr>
  </w:style>
  <w:style w:type="paragraph" w:styleId="a4">
    <w:name w:val="footer"/>
    <w:basedOn w:val="a"/>
    <w:link w:val="Char0"/>
    <w:uiPriority w:val="99"/>
    <w:unhideWhenUsed/>
    <w:rsid w:val="00DA4117"/>
    <w:pPr>
      <w:tabs>
        <w:tab w:val="center" w:pos="4153"/>
        <w:tab w:val="right" w:pos="8306"/>
      </w:tabs>
      <w:snapToGrid w:val="0"/>
      <w:jc w:val="left"/>
    </w:pPr>
    <w:rPr>
      <w:sz w:val="18"/>
      <w:szCs w:val="18"/>
    </w:rPr>
  </w:style>
  <w:style w:type="character" w:customStyle="1" w:styleId="Char0">
    <w:name w:val="页脚 Char"/>
    <w:basedOn w:val="a0"/>
    <w:link w:val="a4"/>
    <w:uiPriority w:val="99"/>
    <w:rsid w:val="00DA4117"/>
    <w:rPr>
      <w:sz w:val="18"/>
      <w:szCs w:val="18"/>
    </w:rPr>
  </w:style>
  <w:style w:type="character" w:customStyle="1" w:styleId="2Char">
    <w:name w:val="标题 2 Char"/>
    <w:basedOn w:val="a0"/>
    <w:link w:val="2"/>
    <w:uiPriority w:val="9"/>
    <w:rsid w:val="00DA4117"/>
    <w:rPr>
      <w:rFonts w:ascii="宋体" w:eastAsia="宋体" w:hAnsi="宋体" w:cs="宋体"/>
      <w:b/>
      <w:bCs/>
      <w:kern w:val="0"/>
      <w:sz w:val="36"/>
      <w:szCs w:val="36"/>
    </w:rPr>
  </w:style>
  <w:style w:type="character" w:styleId="a5">
    <w:name w:val="Hyperlink"/>
    <w:basedOn w:val="a0"/>
    <w:uiPriority w:val="99"/>
    <w:semiHidden/>
    <w:unhideWhenUsed/>
    <w:rsid w:val="00DA4117"/>
    <w:rPr>
      <w:color w:val="0000FF"/>
      <w:u w:val="single"/>
    </w:rPr>
  </w:style>
  <w:style w:type="character" w:customStyle="1" w:styleId="apple-converted-space">
    <w:name w:val="apple-converted-space"/>
    <w:basedOn w:val="a0"/>
    <w:rsid w:val="00DA4117"/>
  </w:style>
  <w:style w:type="paragraph" w:styleId="a6">
    <w:name w:val="Normal (Web)"/>
    <w:basedOn w:val="a"/>
    <w:uiPriority w:val="99"/>
    <w:semiHidden/>
    <w:unhideWhenUsed/>
    <w:rsid w:val="00DA41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376610">
      <w:bodyDiv w:val="1"/>
      <w:marLeft w:val="0"/>
      <w:marRight w:val="0"/>
      <w:marTop w:val="0"/>
      <w:marBottom w:val="0"/>
      <w:divBdr>
        <w:top w:val="none" w:sz="0" w:space="0" w:color="auto"/>
        <w:left w:val="none" w:sz="0" w:space="0" w:color="auto"/>
        <w:bottom w:val="none" w:sz="0" w:space="0" w:color="auto"/>
        <w:right w:val="none" w:sz="0" w:space="0" w:color="auto"/>
      </w:divBdr>
      <w:divsChild>
        <w:div w:id="21249166">
          <w:marLeft w:val="0"/>
          <w:marRight w:val="0"/>
          <w:marTop w:val="0"/>
          <w:marBottom w:val="0"/>
          <w:divBdr>
            <w:top w:val="none" w:sz="0" w:space="0" w:color="auto"/>
            <w:left w:val="none" w:sz="0" w:space="0" w:color="auto"/>
            <w:bottom w:val="single" w:sz="6" w:space="0" w:color="E8E8E8"/>
            <w:right w:val="none" w:sz="0" w:space="0" w:color="auto"/>
          </w:divBdr>
          <w:divsChild>
            <w:div w:id="421609709">
              <w:marLeft w:val="420"/>
              <w:marRight w:val="0"/>
              <w:marTop w:val="270"/>
              <w:marBottom w:val="0"/>
              <w:divBdr>
                <w:top w:val="none" w:sz="0" w:space="0" w:color="auto"/>
                <w:left w:val="none" w:sz="0" w:space="0" w:color="auto"/>
                <w:bottom w:val="none" w:sz="0" w:space="0" w:color="auto"/>
                <w:right w:val="none" w:sz="0" w:space="0" w:color="auto"/>
              </w:divBdr>
            </w:div>
            <w:div w:id="1917011547">
              <w:marLeft w:val="420"/>
              <w:marRight w:val="0"/>
              <w:marTop w:val="270"/>
              <w:marBottom w:val="0"/>
              <w:divBdr>
                <w:top w:val="none" w:sz="0" w:space="0" w:color="auto"/>
                <w:left w:val="none" w:sz="0" w:space="0" w:color="auto"/>
                <w:bottom w:val="none" w:sz="0" w:space="0" w:color="auto"/>
                <w:right w:val="none" w:sz="0" w:space="0" w:color="auto"/>
              </w:divBdr>
            </w:div>
            <w:div w:id="801074641">
              <w:marLeft w:val="480"/>
              <w:marRight w:val="0"/>
              <w:marTop w:val="270"/>
              <w:marBottom w:val="0"/>
              <w:divBdr>
                <w:top w:val="none" w:sz="0" w:space="0" w:color="auto"/>
                <w:left w:val="none" w:sz="0" w:space="0" w:color="auto"/>
                <w:bottom w:val="none" w:sz="0" w:space="0" w:color="auto"/>
                <w:right w:val="none" w:sz="0" w:space="0" w:color="auto"/>
              </w:divBdr>
            </w:div>
            <w:div w:id="264003997">
              <w:marLeft w:val="420"/>
              <w:marRight w:val="0"/>
              <w:marTop w:val="270"/>
              <w:marBottom w:val="0"/>
              <w:divBdr>
                <w:top w:val="none" w:sz="0" w:space="0" w:color="auto"/>
                <w:left w:val="none" w:sz="0" w:space="0" w:color="auto"/>
                <w:bottom w:val="none" w:sz="0" w:space="0" w:color="auto"/>
                <w:right w:val="none" w:sz="0" w:space="0" w:color="auto"/>
              </w:divBdr>
            </w:div>
            <w:div w:id="1634018093">
              <w:marLeft w:val="0"/>
              <w:marRight w:val="450"/>
              <w:marTop w:val="225"/>
              <w:marBottom w:val="0"/>
              <w:divBdr>
                <w:top w:val="single" w:sz="6" w:space="0" w:color="E5E5E5"/>
                <w:left w:val="single" w:sz="6" w:space="15" w:color="E5E5E5"/>
                <w:bottom w:val="single" w:sz="6" w:space="0" w:color="E5E5E5"/>
                <w:right w:val="single" w:sz="6" w:space="0" w:color="E5E5E5"/>
              </w:divBdr>
            </w:div>
          </w:divsChild>
        </w:div>
        <w:div w:id="1368523646">
          <w:marLeft w:val="0"/>
          <w:marRight w:val="0"/>
          <w:marTop w:val="0"/>
          <w:marBottom w:val="0"/>
          <w:divBdr>
            <w:top w:val="none" w:sz="0" w:space="0" w:color="auto"/>
            <w:left w:val="none" w:sz="0" w:space="0" w:color="auto"/>
            <w:bottom w:val="single" w:sz="6" w:space="26" w:color="E5E5E5"/>
            <w:right w:val="none" w:sz="0" w:space="0" w:color="auto"/>
          </w:divBdr>
          <w:divsChild>
            <w:div w:id="1607036731">
              <w:marLeft w:val="0"/>
              <w:marRight w:val="0"/>
              <w:marTop w:val="0"/>
              <w:marBottom w:val="0"/>
              <w:divBdr>
                <w:top w:val="none" w:sz="0" w:space="0" w:color="auto"/>
                <w:left w:val="none" w:sz="0" w:space="0" w:color="auto"/>
                <w:bottom w:val="none" w:sz="0" w:space="0" w:color="auto"/>
                <w:right w:val="none" w:sz="0" w:space="0" w:color="auto"/>
              </w:divBdr>
              <w:divsChild>
                <w:div w:id="6877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2018-05-22T06:49:00Z</dcterms:created>
  <dcterms:modified xsi:type="dcterms:W3CDTF">2018-05-22T06:49:00Z</dcterms:modified>
</cp:coreProperties>
</file>