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50" w:lineRule="atLeast"/>
        <w:ind w:left="0" w:right="0" w:firstLine="0"/>
        <w:jc w:val="center"/>
        <w:rPr>
          <w:rFonts w:ascii="微软雅黑" w:hAnsi="微软雅黑" w:eastAsia="微软雅黑" w:cs="微软雅黑"/>
          <w:b/>
          <w:i w:val="0"/>
          <w:caps w:val="0"/>
          <w:color w:val="333333"/>
          <w:spacing w:val="0"/>
          <w:sz w:val="30"/>
          <w:szCs w:val="30"/>
        </w:rPr>
      </w:pPr>
      <w:bookmarkStart w:id="0" w:name="_GoBack"/>
      <w:r>
        <w:rPr>
          <w:rFonts w:hint="eastAsia" w:ascii="微软雅黑" w:hAnsi="微软雅黑" w:eastAsia="微软雅黑" w:cs="微软雅黑"/>
          <w:b/>
          <w:i w:val="0"/>
          <w:caps w:val="0"/>
          <w:color w:val="333333"/>
          <w:spacing w:val="0"/>
          <w:sz w:val="30"/>
          <w:szCs w:val="30"/>
          <w:bdr w:val="none" w:color="auto" w:sz="0" w:space="0"/>
          <w:shd w:val="clear" w:fill="FFFFFF"/>
        </w:rPr>
        <w:t>关于印发达州市通川区促进农村电子商务 加快发展实施方案的通知</w:t>
      </w:r>
    </w:p>
    <w:bookmarkEnd w:id="0"/>
    <w:p>
      <w:pPr>
        <w:keepNext w:val="0"/>
        <w:keepLines w:val="0"/>
        <w:widowControl/>
        <w:suppressLineNumbers w:val="0"/>
        <w:shd w:val="clear" w:fill="FFFFFF"/>
        <w:spacing w:line="600" w:lineRule="atLeast"/>
        <w:ind w:left="0" w:firstLine="0"/>
        <w:jc w:val="left"/>
        <w:rPr>
          <w:rFonts w:hint="eastAsia" w:ascii="微软雅黑" w:hAnsi="微软雅黑" w:eastAsia="微软雅黑" w:cs="微软雅黑"/>
          <w:b w:val="0"/>
          <w:i w:val="0"/>
          <w:caps w:val="0"/>
          <w:color w:val="24BDF5"/>
          <w:spacing w:val="0"/>
          <w:sz w:val="21"/>
          <w:szCs w:val="21"/>
        </w:rPr>
      </w:pPr>
      <w:r>
        <w:rPr>
          <w:rFonts w:hint="eastAsia" w:ascii="微软雅黑" w:hAnsi="微软雅黑" w:eastAsia="微软雅黑" w:cs="微软雅黑"/>
          <w:b w:val="0"/>
          <w:i w:val="0"/>
          <w:caps w:val="0"/>
          <w:color w:val="24BDF5"/>
          <w:spacing w:val="0"/>
          <w:kern w:val="0"/>
          <w:sz w:val="21"/>
          <w:szCs w:val="21"/>
          <w:u w:val="none"/>
          <w:bdr w:val="none" w:color="auto" w:sz="0" w:space="0"/>
          <w:shd w:val="clear" w:fill="FFFFFF"/>
          <w:lang w:val="en-US" w:eastAsia="zh-CN" w:bidi="ar"/>
        </w:rPr>
        <w:fldChar w:fldCharType="begin"/>
      </w:r>
      <w:r>
        <w:rPr>
          <w:rFonts w:hint="eastAsia" w:ascii="微软雅黑" w:hAnsi="微软雅黑" w:eastAsia="微软雅黑" w:cs="微软雅黑"/>
          <w:b w:val="0"/>
          <w:i w:val="0"/>
          <w:caps w:val="0"/>
          <w:color w:val="24BDF5"/>
          <w:spacing w:val="0"/>
          <w:kern w:val="0"/>
          <w:sz w:val="21"/>
          <w:szCs w:val="21"/>
          <w:u w:val="none"/>
          <w:bdr w:val="none" w:color="auto" w:sz="0" w:space="0"/>
          <w:shd w:val="clear" w:fill="FFFFFF"/>
          <w:lang w:val="en-US" w:eastAsia="zh-CN" w:bidi="ar"/>
        </w:rPr>
        <w:instrText xml:space="preserve"> HYPERLINK "http://www.tchuan.gov.cn/show/2018/01/18/javascript:void(0);" </w:instrText>
      </w:r>
      <w:r>
        <w:rPr>
          <w:rFonts w:hint="eastAsia" w:ascii="微软雅黑" w:hAnsi="微软雅黑" w:eastAsia="微软雅黑" w:cs="微软雅黑"/>
          <w:b w:val="0"/>
          <w:i w:val="0"/>
          <w:caps w:val="0"/>
          <w:color w:val="24BDF5"/>
          <w:spacing w:val="0"/>
          <w:kern w:val="0"/>
          <w:sz w:val="21"/>
          <w:szCs w:val="21"/>
          <w:u w:val="none"/>
          <w:bdr w:val="none" w:color="auto" w:sz="0" w:space="0"/>
          <w:shd w:val="clear" w:fill="FFFFFF"/>
          <w:lang w:val="en-US" w:eastAsia="zh-CN" w:bidi="ar"/>
        </w:rPr>
        <w:fldChar w:fldCharType="separate"/>
      </w:r>
      <w:r>
        <w:rPr>
          <w:rStyle w:val="5"/>
          <w:rFonts w:hint="eastAsia" w:ascii="微软雅黑" w:hAnsi="微软雅黑" w:eastAsia="微软雅黑" w:cs="微软雅黑"/>
          <w:b w:val="0"/>
          <w:i w:val="0"/>
          <w:caps w:val="0"/>
          <w:color w:val="24BDF5"/>
          <w:spacing w:val="0"/>
          <w:sz w:val="21"/>
          <w:szCs w:val="21"/>
          <w:u w:val="none"/>
          <w:bdr w:val="none" w:color="auto" w:sz="0" w:space="0"/>
          <w:shd w:val="clear" w:fill="FFFFFF"/>
        </w:rPr>
        <w:t>分享</w:t>
      </w:r>
      <w:r>
        <w:rPr>
          <w:rFonts w:hint="eastAsia" w:ascii="微软雅黑" w:hAnsi="微软雅黑" w:eastAsia="微软雅黑" w:cs="微软雅黑"/>
          <w:b w:val="0"/>
          <w:i w:val="0"/>
          <w:caps w:val="0"/>
          <w:color w:val="24BDF5"/>
          <w:spacing w:val="0"/>
          <w:kern w:val="0"/>
          <w:sz w:val="21"/>
          <w:szCs w:val="21"/>
          <w:u w:val="none"/>
          <w:bdr w:val="none" w:color="auto" w:sz="0" w:space="0"/>
          <w:shd w:val="clear" w:fill="FFFFFF"/>
          <w:lang w:val="en-US" w:eastAsia="zh-CN" w:bidi="ar"/>
        </w:rPr>
        <w:fldChar w:fldCharType="end"/>
      </w:r>
      <w:r>
        <w:rPr>
          <w:rFonts w:hint="eastAsia" w:ascii="微软雅黑" w:hAnsi="微软雅黑" w:eastAsia="微软雅黑" w:cs="微软雅黑"/>
          <w:b w:val="0"/>
          <w:i w:val="0"/>
          <w:caps w:val="0"/>
          <w:color w:val="24BDF5"/>
          <w:spacing w:val="0"/>
          <w:kern w:val="0"/>
          <w:sz w:val="21"/>
          <w:szCs w:val="21"/>
          <w:shd w:val="clear" w:fill="FFFFFF"/>
          <w:lang w:val="en-US" w:eastAsia="zh-CN" w:bidi="ar"/>
        </w:rPr>
        <w:t> </w:t>
      </w:r>
    </w:p>
    <w:p>
      <w:pPr>
        <w:keepNext w:val="0"/>
        <w:keepLines w:val="0"/>
        <w:widowControl/>
        <w:suppressLineNumbers w:val="0"/>
        <w:pBdr>
          <w:bottom w:val="single" w:color="24BDF5" w:sz="12" w:space="0"/>
        </w:pBdr>
        <w:shd w:val="clear" w:fill="FFFFFF"/>
        <w:spacing w:line="600" w:lineRule="atLeast"/>
        <w:ind w:left="0" w:firstLine="0"/>
        <w:jc w:val="left"/>
        <w:rPr>
          <w:rFonts w:hint="eastAsia" w:ascii="微软雅黑" w:hAnsi="微软雅黑" w:eastAsia="微软雅黑" w:cs="微软雅黑"/>
          <w:b w:val="0"/>
          <w:i w:val="0"/>
          <w:caps w:val="0"/>
          <w:color w:val="24BDF5"/>
          <w:spacing w:val="0"/>
          <w:sz w:val="21"/>
          <w:szCs w:val="21"/>
        </w:rPr>
      </w:pPr>
      <w:r>
        <w:rPr>
          <w:rFonts w:hint="eastAsia" w:ascii="微软雅黑" w:hAnsi="微软雅黑" w:eastAsia="微软雅黑" w:cs="微软雅黑"/>
          <w:b w:val="0"/>
          <w:i w:val="0"/>
          <w:caps w:val="0"/>
          <w:color w:val="24BDF5"/>
          <w:spacing w:val="0"/>
          <w:kern w:val="0"/>
          <w:sz w:val="21"/>
          <w:szCs w:val="21"/>
          <w:shd w:val="clear" w:fill="FFFFFF"/>
          <w:lang w:val="en-US" w:eastAsia="zh-CN" w:bidi="ar"/>
        </w:rPr>
        <w:t>/ </w:t>
      </w:r>
      <w:r>
        <w:rPr>
          <w:rFonts w:hint="eastAsia" w:ascii="微软雅黑" w:hAnsi="微软雅黑" w:eastAsia="微软雅黑" w:cs="微软雅黑"/>
          <w:b w:val="0"/>
          <w:i w:val="0"/>
          <w:caps w:val="0"/>
          <w:color w:val="24BDF5"/>
          <w:spacing w:val="0"/>
          <w:kern w:val="0"/>
          <w:sz w:val="21"/>
          <w:szCs w:val="21"/>
          <w:u w:val="none"/>
          <w:shd w:val="clear" w:fill="FFFFFF"/>
          <w:lang w:val="en-US" w:eastAsia="zh-CN" w:bidi="ar"/>
        </w:rPr>
        <w:fldChar w:fldCharType="begin"/>
      </w:r>
      <w:r>
        <w:rPr>
          <w:rFonts w:hint="eastAsia" w:ascii="微软雅黑" w:hAnsi="微软雅黑" w:eastAsia="微软雅黑" w:cs="微软雅黑"/>
          <w:b w:val="0"/>
          <w:i w:val="0"/>
          <w:caps w:val="0"/>
          <w:color w:val="24BDF5"/>
          <w:spacing w:val="0"/>
          <w:kern w:val="0"/>
          <w:sz w:val="21"/>
          <w:szCs w:val="21"/>
          <w:u w:val="none"/>
          <w:shd w:val="clear" w:fill="FFFFFF"/>
          <w:lang w:val="en-US" w:eastAsia="zh-CN" w:bidi="ar"/>
        </w:rPr>
        <w:instrText xml:space="preserve"> HYPERLINK "http://www.tchuan.gov.cn/show/2018/01/18/javascript:void(0);" </w:instrText>
      </w:r>
      <w:r>
        <w:rPr>
          <w:rFonts w:hint="eastAsia" w:ascii="微软雅黑" w:hAnsi="微软雅黑" w:eastAsia="微软雅黑" w:cs="微软雅黑"/>
          <w:b w:val="0"/>
          <w:i w:val="0"/>
          <w:caps w:val="0"/>
          <w:color w:val="24BDF5"/>
          <w:spacing w:val="0"/>
          <w:kern w:val="0"/>
          <w:sz w:val="21"/>
          <w:szCs w:val="21"/>
          <w:u w:val="none"/>
          <w:shd w:val="clear" w:fill="FFFFFF"/>
          <w:lang w:val="en-US" w:eastAsia="zh-CN" w:bidi="ar"/>
        </w:rPr>
        <w:fldChar w:fldCharType="separate"/>
      </w:r>
      <w:r>
        <w:rPr>
          <w:rStyle w:val="5"/>
          <w:rFonts w:hint="eastAsia" w:ascii="微软雅黑" w:hAnsi="微软雅黑" w:eastAsia="微软雅黑" w:cs="微软雅黑"/>
          <w:b w:val="0"/>
          <w:i w:val="0"/>
          <w:caps w:val="0"/>
          <w:color w:val="24BDF5"/>
          <w:spacing w:val="0"/>
          <w:sz w:val="21"/>
          <w:szCs w:val="21"/>
          <w:u w:val="none"/>
          <w:shd w:val="clear" w:fill="FFFFFF"/>
        </w:rPr>
        <w:t>打印</w:t>
      </w:r>
      <w:r>
        <w:rPr>
          <w:rFonts w:hint="eastAsia" w:ascii="微软雅黑" w:hAnsi="微软雅黑" w:eastAsia="微软雅黑" w:cs="微软雅黑"/>
          <w:b w:val="0"/>
          <w:i w:val="0"/>
          <w:caps w:val="0"/>
          <w:color w:val="24BDF5"/>
          <w:spacing w:val="0"/>
          <w:kern w:val="0"/>
          <w:sz w:val="21"/>
          <w:szCs w:val="21"/>
          <w:u w:val="none"/>
          <w:shd w:val="clear" w:fill="FFFFFF"/>
          <w:lang w:val="en-US" w:eastAsia="zh-CN" w:bidi="ar"/>
        </w:rPr>
        <w:fldChar w:fldCharType="end"/>
      </w:r>
      <w:r>
        <w:rPr>
          <w:rFonts w:hint="eastAsia" w:ascii="微软雅黑" w:hAnsi="微软雅黑" w:eastAsia="微软雅黑" w:cs="微软雅黑"/>
          <w:b w:val="0"/>
          <w:i w:val="0"/>
          <w:caps w:val="0"/>
          <w:color w:val="24BDF5"/>
          <w:spacing w:val="0"/>
          <w:kern w:val="0"/>
          <w:sz w:val="21"/>
          <w:szCs w:val="21"/>
          <w:shd w:val="clear" w:fill="FFFFFF"/>
          <w:lang w:val="en-US" w:eastAsia="zh-CN" w:bidi="ar"/>
        </w:rPr>
        <w:t> / </w:t>
      </w:r>
      <w:r>
        <w:rPr>
          <w:rFonts w:hint="eastAsia" w:ascii="微软雅黑" w:hAnsi="微软雅黑" w:eastAsia="微软雅黑" w:cs="微软雅黑"/>
          <w:b w:val="0"/>
          <w:i w:val="0"/>
          <w:caps w:val="0"/>
          <w:color w:val="24BDF5"/>
          <w:spacing w:val="0"/>
          <w:kern w:val="0"/>
          <w:sz w:val="21"/>
          <w:szCs w:val="21"/>
          <w:u w:val="none"/>
          <w:shd w:val="clear" w:fill="FFFFFF"/>
          <w:lang w:val="en-US" w:eastAsia="zh-CN" w:bidi="ar"/>
        </w:rPr>
        <w:fldChar w:fldCharType="begin"/>
      </w:r>
      <w:r>
        <w:rPr>
          <w:rFonts w:hint="eastAsia" w:ascii="微软雅黑" w:hAnsi="微软雅黑" w:eastAsia="微软雅黑" w:cs="微软雅黑"/>
          <w:b w:val="0"/>
          <w:i w:val="0"/>
          <w:caps w:val="0"/>
          <w:color w:val="24BDF5"/>
          <w:spacing w:val="0"/>
          <w:kern w:val="0"/>
          <w:sz w:val="21"/>
          <w:szCs w:val="21"/>
          <w:u w:val="none"/>
          <w:shd w:val="clear" w:fill="FFFFFF"/>
          <w:lang w:val="en-US" w:eastAsia="zh-CN" w:bidi="ar"/>
        </w:rPr>
        <w:instrText xml:space="preserve"> HYPERLINK "http://www.tchuan.gov.cn/show/2018/01/18/javascript:void(0);" </w:instrText>
      </w:r>
      <w:r>
        <w:rPr>
          <w:rFonts w:hint="eastAsia" w:ascii="微软雅黑" w:hAnsi="微软雅黑" w:eastAsia="微软雅黑" w:cs="微软雅黑"/>
          <w:b w:val="0"/>
          <w:i w:val="0"/>
          <w:caps w:val="0"/>
          <w:color w:val="24BDF5"/>
          <w:spacing w:val="0"/>
          <w:kern w:val="0"/>
          <w:sz w:val="21"/>
          <w:szCs w:val="21"/>
          <w:u w:val="none"/>
          <w:shd w:val="clear" w:fill="FFFFFF"/>
          <w:lang w:val="en-US" w:eastAsia="zh-CN" w:bidi="ar"/>
        </w:rPr>
        <w:fldChar w:fldCharType="separate"/>
      </w:r>
      <w:r>
        <w:rPr>
          <w:rStyle w:val="5"/>
          <w:rFonts w:hint="eastAsia" w:ascii="微软雅黑" w:hAnsi="微软雅黑" w:eastAsia="微软雅黑" w:cs="微软雅黑"/>
          <w:b w:val="0"/>
          <w:i w:val="0"/>
          <w:caps w:val="0"/>
          <w:color w:val="24BDF5"/>
          <w:spacing w:val="0"/>
          <w:sz w:val="21"/>
          <w:szCs w:val="21"/>
          <w:u w:val="none"/>
          <w:shd w:val="clear" w:fill="FFFFFF"/>
        </w:rPr>
        <w:t>放大字体</w:t>
      </w:r>
      <w:r>
        <w:rPr>
          <w:rFonts w:hint="eastAsia" w:ascii="微软雅黑" w:hAnsi="微软雅黑" w:eastAsia="微软雅黑" w:cs="微软雅黑"/>
          <w:b w:val="0"/>
          <w:i w:val="0"/>
          <w:caps w:val="0"/>
          <w:color w:val="24BDF5"/>
          <w:spacing w:val="0"/>
          <w:kern w:val="0"/>
          <w:sz w:val="21"/>
          <w:szCs w:val="21"/>
          <w:u w:val="none"/>
          <w:shd w:val="clear" w:fill="FFFFFF"/>
          <w:lang w:val="en-US" w:eastAsia="zh-CN" w:bidi="ar"/>
        </w:rPr>
        <w:fldChar w:fldCharType="end"/>
      </w:r>
      <w:r>
        <w:rPr>
          <w:rFonts w:hint="eastAsia" w:ascii="微软雅黑" w:hAnsi="微软雅黑" w:eastAsia="微软雅黑" w:cs="微软雅黑"/>
          <w:b w:val="0"/>
          <w:i w:val="0"/>
          <w:caps w:val="0"/>
          <w:color w:val="24BDF5"/>
          <w:spacing w:val="0"/>
          <w:kern w:val="0"/>
          <w:sz w:val="21"/>
          <w:szCs w:val="21"/>
          <w:shd w:val="clear" w:fill="FFFFFF"/>
          <w:lang w:val="en-US" w:eastAsia="zh-CN" w:bidi="ar"/>
        </w:rPr>
        <w:t> / </w:t>
      </w:r>
      <w:r>
        <w:rPr>
          <w:rFonts w:hint="eastAsia" w:ascii="微软雅黑" w:hAnsi="微软雅黑" w:eastAsia="微软雅黑" w:cs="微软雅黑"/>
          <w:b w:val="0"/>
          <w:i w:val="0"/>
          <w:caps w:val="0"/>
          <w:color w:val="24BDF5"/>
          <w:spacing w:val="0"/>
          <w:kern w:val="0"/>
          <w:sz w:val="21"/>
          <w:szCs w:val="21"/>
          <w:u w:val="none"/>
          <w:shd w:val="clear" w:fill="FFFFFF"/>
          <w:lang w:val="en-US" w:eastAsia="zh-CN" w:bidi="ar"/>
        </w:rPr>
        <w:fldChar w:fldCharType="begin"/>
      </w:r>
      <w:r>
        <w:rPr>
          <w:rFonts w:hint="eastAsia" w:ascii="微软雅黑" w:hAnsi="微软雅黑" w:eastAsia="微软雅黑" w:cs="微软雅黑"/>
          <w:b w:val="0"/>
          <w:i w:val="0"/>
          <w:caps w:val="0"/>
          <w:color w:val="24BDF5"/>
          <w:spacing w:val="0"/>
          <w:kern w:val="0"/>
          <w:sz w:val="21"/>
          <w:szCs w:val="21"/>
          <w:u w:val="none"/>
          <w:shd w:val="clear" w:fill="FFFFFF"/>
          <w:lang w:val="en-US" w:eastAsia="zh-CN" w:bidi="ar"/>
        </w:rPr>
        <w:instrText xml:space="preserve"> HYPERLINK "http://www.tchuan.gov.cn/show/2018/01/18/javascript:void(0);" </w:instrText>
      </w:r>
      <w:r>
        <w:rPr>
          <w:rFonts w:hint="eastAsia" w:ascii="微软雅黑" w:hAnsi="微软雅黑" w:eastAsia="微软雅黑" w:cs="微软雅黑"/>
          <w:b w:val="0"/>
          <w:i w:val="0"/>
          <w:caps w:val="0"/>
          <w:color w:val="24BDF5"/>
          <w:spacing w:val="0"/>
          <w:kern w:val="0"/>
          <w:sz w:val="21"/>
          <w:szCs w:val="21"/>
          <w:u w:val="none"/>
          <w:shd w:val="clear" w:fill="FFFFFF"/>
          <w:lang w:val="en-US" w:eastAsia="zh-CN" w:bidi="ar"/>
        </w:rPr>
        <w:fldChar w:fldCharType="separate"/>
      </w:r>
      <w:r>
        <w:rPr>
          <w:rStyle w:val="5"/>
          <w:rFonts w:hint="eastAsia" w:ascii="微软雅黑" w:hAnsi="微软雅黑" w:eastAsia="微软雅黑" w:cs="微软雅黑"/>
          <w:b w:val="0"/>
          <w:i w:val="0"/>
          <w:caps w:val="0"/>
          <w:color w:val="24BDF5"/>
          <w:spacing w:val="0"/>
          <w:sz w:val="21"/>
          <w:szCs w:val="21"/>
          <w:u w:val="none"/>
          <w:shd w:val="clear" w:fill="FFFFFF"/>
        </w:rPr>
        <w:t>缩小字体</w:t>
      </w:r>
      <w:r>
        <w:rPr>
          <w:rFonts w:hint="eastAsia" w:ascii="微软雅黑" w:hAnsi="微软雅黑" w:eastAsia="微软雅黑" w:cs="微软雅黑"/>
          <w:b w:val="0"/>
          <w:i w:val="0"/>
          <w:caps w:val="0"/>
          <w:color w:val="24BDF5"/>
          <w:spacing w:val="0"/>
          <w:kern w:val="0"/>
          <w:sz w:val="21"/>
          <w:szCs w:val="21"/>
          <w:u w:val="none"/>
          <w:shd w:val="clear" w:fill="FFFFFF"/>
          <w:lang w:val="en-US" w:eastAsia="zh-CN" w:bidi="ar"/>
        </w:rPr>
        <w:fldChar w:fldCharType="end"/>
      </w:r>
    </w:p>
    <w:p>
      <w:pPr>
        <w:keepNext w:val="0"/>
        <w:keepLines w:val="0"/>
        <w:widowControl/>
        <w:suppressLineNumbers w:val="0"/>
        <w:pBdr>
          <w:bottom w:val="single" w:color="24BDF5" w:sz="12" w:space="0"/>
        </w:pBdr>
        <w:shd w:val="clear" w:fill="FFFFFF"/>
        <w:spacing w:line="600" w:lineRule="atLeast"/>
        <w:ind w:left="0" w:firstLine="0"/>
        <w:jc w:val="left"/>
        <w:rPr>
          <w:rFonts w:hint="eastAsia" w:ascii="微软雅黑" w:hAnsi="微软雅黑" w:eastAsia="微软雅黑" w:cs="微软雅黑"/>
          <w:b w:val="0"/>
          <w:i w:val="0"/>
          <w:caps w:val="0"/>
          <w:color w:val="888888"/>
          <w:spacing w:val="0"/>
          <w:sz w:val="21"/>
          <w:szCs w:val="21"/>
        </w:rPr>
      </w:pPr>
      <w:r>
        <w:rPr>
          <w:rFonts w:hint="eastAsia" w:ascii="微软雅黑" w:hAnsi="微软雅黑" w:eastAsia="微软雅黑" w:cs="微软雅黑"/>
          <w:b w:val="0"/>
          <w:i w:val="0"/>
          <w:caps w:val="0"/>
          <w:color w:val="888888"/>
          <w:spacing w:val="0"/>
          <w:kern w:val="0"/>
          <w:sz w:val="21"/>
          <w:szCs w:val="21"/>
          <w:shd w:val="clear" w:fill="FFFFFF"/>
          <w:lang w:val="en-US" w:eastAsia="zh-CN" w:bidi="ar"/>
        </w:rPr>
        <w:t>来源：</w:t>
      </w:r>
      <w:r>
        <w:rPr>
          <w:rFonts w:hint="eastAsia" w:ascii="微软雅黑" w:hAnsi="微软雅黑" w:eastAsia="微软雅黑" w:cs="微软雅黑"/>
          <w:b w:val="0"/>
          <w:i w:val="0"/>
          <w:caps w:val="0"/>
          <w:color w:val="555555"/>
          <w:spacing w:val="0"/>
          <w:kern w:val="0"/>
          <w:sz w:val="21"/>
          <w:szCs w:val="21"/>
          <w:shd w:val="clear" w:fill="FFFFFF"/>
          <w:lang w:val="en-US" w:eastAsia="zh-CN" w:bidi="ar"/>
        </w:rPr>
        <w:t>政府办</w:t>
      </w:r>
      <w:r>
        <w:rPr>
          <w:rFonts w:hint="eastAsia" w:ascii="微软雅黑" w:hAnsi="微软雅黑" w:eastAsia="微软雅黑" w:cs="微软雅黑"/>
          <w:b w:val="0"/>
          <w:i w:val="0"/>
          <w:caps w:val="0"/>
          <w:color w:val="888888"/>
          <w:spacing w:val="0"/>
          <w:kern w:val="0"/>
          <w:sz w:val="21"/>
          <w:szCs w:val="21"/>
          <w:shd w:val="clear" w:fill="FFFFFF"/>
          <w:lang w:val="en-US" w:eastAsia="zh-CN" w:bidi="ar"/>
        </w:rPr>
        <w:t>     发布日期：</w:t>
      </w:r>
      <w:r>
        <w:rPr>
          <w:rFonts w:hint="eastAsia" w:ascii="微软雅黑" w:hAnsi="微软雅黑" w:eastAsia="微软雅黑" w:cs="微软雅黑"/>
          <w:b w:val="0"/>
          <w:i w:val="0"/>
          <w:caps w:val="0"/>
          <w:color w:val="555555"/>
          <w:spacing w:val="0"/>
          <w:kern w:val="0"/>
          <w:sz w:val="21"/>
          <w:szCs w:val="21"/>
          <w:shd w:val="clear" w:fill="FFFFFF"/>
          <w:lang w:val="en-US" w:eastAsia="zh-CN" w:bidi="ar"/>
        </w:rPr>
        <w:t>2018-01-18</w:t>
      </w:r>
      <w:r>
        <w:rPr>
          <w:rFonts w:hint="eastAsia" w:ascii="微软雅黑" w:hAnsi="微软雅黑" w:eastAsia="微软雅黑" w:cs="微软雅黑"/>
          <w:b w:val="0"/>
          <w:i w:val="0"/>
          <w:caps w:val="0"/>
          <w:color w:val="888888"/>
          <w:spacing w:val="0"/>
          <w:kern w:val="0"/>
          <w:sz w:val="21"/>
          <w:szCs w:val="21"/>
          <w:shd w:val="clear" w:fill="FFFFFF"/>
          <w:lang w:val="en-US" w:eastAsia="zh-CN" w:bidi="ar"/>
        </w:rPr>
        <w:t>     点击数：</w:t>
      </w:r>
      <w:r>
        <w:rPr>
          <w:rFonts w:hint="eastAsia" w:ascii="微软雅黑" w:hAnsi="微软雅黑" w:eastAsia="微软雅黑" w:cs="微软雅黑"/>
          <w:b w:val="0"/>
          <w:i w:val="0"/>
          <w:caps w:val="0"/>
          <w:color w:val="555555"/>
          <w:spacing w:val="0"/>
          <w:kern w:val="0"/>
          <w:sz w:val="21"/>
          <w:szCs w:val="21"/>
          <w:shd w:val="clear" w:fill="FFFFFF"/>
          <w:lang w:val="en-US" w:eastAsia="zh-CN" w:bidi="ar"/>
        </w:rPr>
        <w:t>58</w:t>
      </w:r>
      <w:r>
        <w:rPr>
          <w:rFonts w:hint="eastAsia" w:ascii="微软雅黑" w:hAnsi="微软雅黑" w:eastAsia="微软雅黑" w:cs="微软雅黑"/>
          <w:b w:val="0"/>
          <w:i w:val="0"/>
          <w:caps w:val="0"/>
          <w:color w:val="888888"/>
          <w:spacing w:val="0"/>
          <w:kern w:val="0"/>
          <w:sz w:val="21"/>
          <w:szCs w:val="21"/>
          <w:shd w:val="clear" w:fill="FFFFFF"/>
          <w:lang w:val="en-US" w:eastAsia="zh-CN" w:bidi="ar"/>
        </w:rPr>
        <w:t> 人次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pPr>
      <w:r>
        <w:rPr>
          <w:rFonts w:hint="eastAsia" w:ascii="宋体" w:hAnsi="宋体" w:eastAsia="宋体" w:cs="宋体"/>
          <w:b w:val="0"/>
          <w:i w:val="0"/>
          <w:caps w:val="0"/>
          <w:color w:val="333333"/>
          <w:spacing w:val="0"/>
          <w:sz w:val="24"/>
          <w:szCs w:val="24"/>
          <w:bdr w:val="none" w:color="auto" w:sz="0" w:space="0"/>
          <w:shd w:val="clear" w:fill="FFFFFF"/>
        </w:rPr>
        <w:t>各乡镇人民政府、各街道办事处、莲花湖管委会，区级各部门：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pPr>
      <w:r>
        <w:rPr>
          <w:rFonts w:hint="eastAsia" w:ascii="宋体" w:hAnsi="宋体" w:eastAsia="宋体" w:cs="宋体"/>
          <w:b w:val="0"/>
          <w:i w:val="0"/>
          <w:caps w:val="0"/>
          <w:color w:val="333333"/>
          <w:spacing w:val="0"/>
          <w:sz w:val="24"/>
          <w:szCs w:val="24"/>
          <w:bdr w:val="none" w:color="auto" w:sz="0" w:space="0"/>
          <w:shd w:val="clear" w:fill="FFFFFF"/>
        </w:rPr>
        <w:t>　　经区政府领导同意，现将《达州市通川区促进农村电子商务加快发展实施方案》印发你们，请认真组织实施。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right"/>
      </w:pPr>
      <w:r>
        <w:rPr>
          <w:rFonts w:hint="eastAsia" w:ascii="宋体" w:hAnsi="宋体" w:eastAsia="宋体" w:cs="宋体"/>
          <w:b w:val="0"/>
          <w:i w:val="0"/>
          <w:caps w:val="0"/>
          <w:color w:val="333333"/>
          <w:spacing w:val="0"/>
          <w:sz w:val="24"/>
          <w:szCs w:val="24"/>
          <w:bdr w:val="none" w:color="auto" w:sz="0" w:space="0"/>
          <w:shd w:val="clear" w:fill="FFFFFF"/>
        </w:rPr>
        <w:t>达州市通川区人民政府办公室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right"/>
      </w:pPr>
      <w:r>
        <w:rPr>
          <w:rFonts w:hint="eastAsia" w:ascii="宋体" w:hAnsi="宋体" w:eastAsia="宋体" w:cs="宋体"/>
          <w:b w:val="0"/>
          <w:i w:val="0"/>
          <w:caps w:val="0"/>
          <w:color w:val="333333"/>
          <w:spacing w:val="0"/>
          <w:sz w:val="24"/>
          <w:szCs w:val="24"/>
          <w:bdr w:val="none" w:color="auto" w:sz="0" w:space="0"/>
          <w:shd w:val="clear" w:fill="FFFFFF"/>
        </w:rPr>
        <w:t>                         2018年1月15日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宋体" w:hAnsi="宋体" w:eastAsia="宋体" w:cs="宋体"/>
          <w:b w:val="0"/>
          <w:i w:val="0"/>
          <w:caps w:val="0"/>
          <w:color w:val="333333"/>
          <w:spacing w:val="0"/>
          <w:sz w:val="24"/>
          <w:szCs w:val="24"/>
          <w:bdr w:val="none" w:color="auto" w:sz="0" w:space="0"/>
          <w:shd w:val="clear" w:fill="FFFFFF"/>
        </w:rPr>
        <w:t>达州市通川区促进农村电子商务加快发展实施方案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pPr>
      <w:r>
        <w:rPr>
          <w:rFonts w:hint="eastAsia" w:ascii="宋体" w:hAnsi="宋体" w:eastAsia="宋体" w:cs="宋体"/>
          <w:b w:val="0"/>
          <w:i w:val="0"/>
          <w:caps w:val="0"/>
          <w:color w:val="333333"/>
          <w:spacing w:val="0"/>
          <w:sz w:val="24"/>
          <w:szCs w:val="24"/>
          <w:bdr w:val="none" w:color="auto" w:sz="0" w:space="0"/>
          <w:shd w:val="clear" w:fill="FFFFFF"/>
        </w:rPr>
        <w:t>    为认真贯彻落实《国务院办公厅关于促进农村电子商务加快发展的指导意见》（国办发〔2015〕78号）、《四川省人民政府办公厅关于印发四川省促进农村电子商务发展实施意见的通知》（川办发〔2015〕49号）和《达州市商务局关于印发〈达州市加快发展农村电子商务的实施意见〉》（达市促办〔2015〕20号）精神，更好发挥电子商务在促进农村经济转型升级的基础先导作用，加快推进我区电子商务与农村产业的深度融合，培育农村发展新动能，结合我区发展实际，制定以下实施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pPr>
      <w:r>
        <w:rPr>
          <w:rFonts w:hint="eastAsia" w:ascii="宋体" w:hAnsi="宋体" w:eastAsia="宋体" w:cs="宋体"/>
          <w:b w:val="0"/>
          <w:i w:val="0"/>
          <w:caps w:val="0"/>
          <w:color w:val="333333"/>
          <w:spacing w:val="0"/>
          <w:sz w:val="24"/>
          <w:szCs w:val="24"/>
          <w:bdr w:val="none" w:color="auto" w:sz="0" w:space="0"/>
          <w:shd w:val="clear" w:fill="FFFFFF"/>
        </w:rPr>
        <w:t>一、指导思想与发展目标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pPr>
      <w:r>
        <w:rPr>
          <w:rFonts w:hint="eastAsia" w:ascii="宋体" w:hAnsi="宋体" w:eastAsia="宋体" w:cs="宋体"/>
          <w:b w:val="0"/>
          <w:i w:val="0"/>
          <w:caps w:val="0"/>
          <w:color w:val="333333"/>
          <w:spacing w:val="0"/>
          <w:sz w:val="24"/>
          <w:szCs w:val="24"/>
          <w:bdr w:val="none" w:color="auto" w:sz="0" w:space="0"/>
          <w:shd w:val="clear" w:fill="FFFFFF"/>
        </w:rPr>
        <w:t>（一）指导思想。深入贯彻落实党的十九大精神，牢固树立“创新、协调、开放、绿色、共享”的发展理念，紧紧围绕供给侧结构性改革主线和坚决打赢脱贫攻坚战的总体要求，按照“企业为主、政府引领、市场运作、社会参与、品牌带动、产业支撑”的发展思路，坚持把电子商务作为农村现代流通市场体系建设和脱贫奔康的重要引擎和产业支撑，通过搭平台、建支点、强体系、育品牌、拓渠道、壮队伍、优环境，不断创新线上线下融合发展的技术、模式和机制，促进电子商务与农村实体经济深度融合，形成“工业品下乡、农产品进城”双向流通格局，拓展消费渠道，助推农业升级、农村发展、农民增收，推动全区农村电子商务健康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pPr>
      <w:r>
        <w:rPr>
          <w:rFonts w:hint="eastAsia" w:ascii="宋体" w:hAnsi="宋体" w:eastAsia="宋体" w:cs="宋体"/>
          <w:b w:val="0"/>
          <w:i w:val="0"/>
          <w:caps w:val="0"/>
          <w:color w:val="333333"/>
          <w:spacing w:val="0"/>
          <w:sz w:val="24"/>
          <w:szCs w:val="24"/>
          <w:bdr w:val="none" w:color="auto" w:sz="0" w:space="0"/>
          <w:shd w:val="clear" w:fill="FFFFFF"/>
        </w:rPr>
        <w:t>（二）发展目标。力争到2019年，全区农村电子商务年交易额年均增长不低于30%，建成1-2个功能齐全、配套完善、运营规范的涉农电子商务产业园，培育10家市级以上电子商务示范企业，打造2-3个有较强辐射影响力的涉农电子商务平台，“买卖不出村、办事不出村、务工不出村、金融不出村”的农村电子商务体系基本建成，形成电子商务应用更加广泛，保障体系更加健全，配套服务更加完善，产业发展更加集聚的农村电子商务新格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pPr>
      <w:r>
        <w:rPr>
          <w:rFonts w:hint="eastAsia" w:ascii="宋体" w:hAnsi="宋体" w:eastAsia="宋体" w:cs="宋体"/>
          <w:b w:val="0"/>
          <w:i w:val="0"/>
          <w:caps w:val="0"/>
          <w:color w:val="333333"/>
          <w:spacing w:val="0"/>
          <w:sz w:val="24"/>
          <w:szCs w:val="24"/>
          <w:bdr w:val="none" w:color="auto" w:sz="0" w:space="0"/>
          <w:shd w:val="clear" w:fill="FFFFFF"/>
        </w:rPr>
        <w:t>二、主要任务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pPr>
      <w:r>
        <w:rPr>
          <w:rFonts w:hint="eastAsia" w:ascii="宋体" w:hAnsi="宋体" w:eastAsia="宋体" w:cs="宋体"/>
          <w:b w:val="0"/>
          <w:i w:val="0"/>
          <w:caps w:val="0"/>
          <w:color w:val="333333"/>
          <w:spacing w:val="0"/>
          <w:sz w:val="24"/>
          <w:szCs w:val="24"/>
          <w:bdr w:val="none" w:color="auto" w:sz="0" w:space="0"/>
          <w:shd w:val="clear" w:fill="FFFFFF"/>
        </w:rPr>
        <w:t>（一）搭建农村电子商务平台。加快推进区级电子商务综合服务中心、乡镇电子商务服务站和村级服务点建设，力争2019年覆盖所有的乡镇、村。积极对接“四川农产品电子商务及流通信息公共服务平台”，打造以知名第三方电商平台为一体的通川农村电子商务平台，培育发展“天农网”、“达州菜篮子”等涉农电商平台。积极推进秦巴国际电商产业园、好一新商贸城等电子商务创业园（基地），吸纳200家以上电商企业入驻，推动电子商务企业集聚发展。引进国内外知名第三方服务平台，形成区域电商发展新高地，逐步增强对全区农村电子商务产业的支撑引领和辐射带动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pPr>
      <w:r>
        <w:rPr>
          <w:rFonts w:hint="eastAsia" w:ascii="宋体" w:hAnsi="宋体" w:eastAsia="宋体" w:cs="宋体"/>
          <w:b w:val="0"/>
          <w:i w:val="0"/>
          <w:caps w:val="0"/>
          <w:color w:val="333333"/>
          <w:spacing w:val="0"/>
          <w:sz w:val="24"/>
          <w:szCs w:val="24"/>
          <w:bdr w:val="none" w:color="auto" w:sz="0" w:space="0"/>
          <w:shd w:val="clear" w:fill="FFFFFF"/>
        </w:rPr>
        <w:t>（牵头单位：区商务局，责任单位：区经信局、区财政局、区政府金融办、区物流办、区旅游局，各乡镇人民政府）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pPr>
      <w:r>
        <w:rPr>
          <w:rFonts w:hint="eastAsia" w:ascii="宋体" w:hAnsi="宋体" w:eastAsia="宋体" w:cs="宋体"/>
          <w:b w:val="0"/>
          <w:i w:val="0"/>
          <w:caps w:val="0"/>
          <w:color w:val="333333"/>
          <w:spacing w:val="0"/>
          <w:sz w:val="24"/>
          <w:szCs w:val="24"/>
          <w:bdr w:val="none" w:color="auto" w:sz="0" w:space="0"/>
          <w:shd w:val="clear" w:fill="FFFFFF"/>
        </w:rPr>
        <w:t>（二）推进农产品供应链建设。积极推动“一村一品，一村一业”发展，力争实现特色产品高端化、优势产业规模化。以农产品网上销售标准化推动农产品质量等级化、包装规格化、产品品牌化，并通过分级销售实现农产品优质优价，促进农民增收。组建农产品生鲜、时令直销基地。鼓励企业大力推进电商化改造，引进高新生产加工设备技术，完善产品包装。推动建立标准化生产流程和产品质量认定标准，开展农产品“三品一标”认证，逐步建立农产品溯源体系和质量安全监控系统，制定生产、加工、流通标准，加强市场监管，构建诚信、安全的农产品供应链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pPr>
      <w:r>
        <w:rPr>
          <w:rFonts w:hint="eastAsia" w:ascii="宋体" w:hAnsi="宋体" w:eastAsia="宋体" w:cs="宋体"/>
          <w:b w:val="0"/>
          <w:i w:val="0"/>
          <w:caps w:val="0"/>
          <w:color w:val="333333"/>
          <w:spacing w:val="0"/>
          <w:sz w:val="24"/>
          <w:szCs w:val="24"/>
          <w:bdr w:val="none" w:color="auto" w:sz="0" w:space="0"/>
          <w:shd w:val="clear" w:fill="FFFFFF"/>
        </w:rPr>
        <w:t>（牵头单位：区农工委、区农业局，责任单位：区商务局、区工商质监局、区食药局，各乡镇人民政府）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pPr>
      <w:r>
        <w:rPr>
          <w:rFonts w:hint="eastAsia" w:ascii="宋体" w:hAnsi="宋体" w:eastAsia="宋体" w:cs="宋体"/>
          <w:b w:val="0"/>
          <w:i w:val="0"/>
          <w:caps w:val="0"/>
          <w:color w:val="333333"/>
          <w:spacing w:val="0"/>
          <w:sz w:val="24"/>
          <w:szCs w:val="24"/>
          <w:bdr w:val="none" w:color="auto" w:sz="0" w:space="0"/>
          <w:shd w:val="clear" w:fill="FFFFFF"/>
        </w:rPr>
        <w:t>（三）发展多元化电商营销主体。推动农村电商应用，鼓励本地市场、超市、网络零售企业与平台开展商品预售、包销等供需对接服务，拓宽销售渠道，实现线上线下销售一体化。鼓励农产品经纪人、大学毕业生、大学生村官、农村创业青年等依托电子商务进行创业，不断壮大农村创业主体。支持农村电商企业发展，引导农村经济合作社、涉农企业、农民专业合作社（联合社）、家庭农场、部分个体经营户等开拓网上销售业务，借网开拓销售新渠道。支持在第三方平台建设通川特色馆，支持中小企业及传统企业转型升级发展电子商务。激励规模以上电子商务企业从事农产品电子商务。鼓励国内外大型电子商务企业和优质电子商务项目落户通川。鼓励外地电子商务平台销售本地产品，打造通川土特农产品网上集散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pPr>
      <w:r>
        <w:rPr>
          <w:rFonts w:hint="eastAsia" w:ascii="宋体" w:hAnsi="宋体" w:eastAsia="宋体" w:cs="宋体"/>
          <w:b w:val="0"/>
          <w:i w:val="0"/>
          <w:caps w:val="0"/>
          <w:color w:val="333333"/>
          <w:spacing w:val="0"/>
          <w:sz w:val="24"/>
          <w:szCs w:val="24"/>
          <w:bdr w:val="none" w:color="auto" w:sz="0" w:space="0"/>
          <w:shd w:val="clear" w:fill="FFFFFF"/>
        </w:rPr>
        <w:t>（牵头单位：区商务局，责任单位：区农工委、区农业局、区工商质监局、区供销社、区工业集中区管委会，各乡镇人民政府）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pPr>
      <w:r>
        <w:rPr>
          <w:rFonts w:hint="eastAsia" w:ascii="宋体" w:hAnsi="宋体" w:eastAsia="宋体" w:cs="宋体"/>
          <w:b w:val="0"/>
          <w:i w:val="0"/>
          <w:caps w:val="0"/>
          <w:color w:val="333333"/>
          <w:spacing w:val="0"/>
          <w:sz w:val="24"/>
          <w:szCs w:val="24"/>
          <w:bdr w:val="none" w:color="auto" w:sz="0" w:space="0"/>
          <w:shd w:val="clear" w:fill="FFFFFF"/>
        </w:rPr>
        <w:t>（四）培育农产品网络品牌。加强品牌保护工作，把农产品的质量作为发展农村电子商务的重点和优势，打造通川农产品电子商务品牌。鼓励企业开展产品质量安全认证及品牌商标申报，建立以区级电子商务服务中心为依托的农产品营销体系和地域品牌推广体系。依托地方特色馆、第三方电商平台开展品牌网络营销，构建“政府+运营服务商+电商平台”开放型营销服务体系，打造融合名特优产品、地方节庆活动、特色旅游等为一体的具有通川本土特色的地域品牌。通过传统媒介、新兴媒体等多种渠道和载体，开展通川特色农产品的品牌宣传与推广，提升通川特产在国内外市场的知名度和影响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pPr>
      <w:r>
        <w:rPr>
          <w:rFonts w:hint="eastAsia" w:ascii="宋体" w:hAnsi="宋体" w:eastAsia="宋体" w:cs="宋体"/>
          <w:b w:val="0"/>
          <w:i w:val="0"/>
          <w:caps w:val="0"/>
          <w:color w:val="333333"/>
          <w:spacing w:val="0"/>
          <w:sz w:val="24"/>
          <w:szCs w:val="24"/>
          <w:bdr w:val="none" w:color="auto" w:sz="0" w:space="0"/>
          <w:shd w:val="clear" w:fill="FFFFFF"/>
        </w:rPr>
        <w:t>（牵头单位：区农业局、区工商质监局，责任单位：区农工委、区商务局、区供销社，各乡镇人民政府）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pPr>
      <w:r>
        <w:rPr>
          <w:rFonts w:hint="eastAsia" w:ascii="宋体" w:hAnsi="宋体" w:eastAsia="宋体" w:cs="宋体"/>
          <w:b w:val="0"/>
          <w:i w:val="0"/>
          <w:caps w:val="0"/>
          <w:color w:val="333333"/>
          <w:spacing w:val="0"/>
          <w:sz w:val="24"/>
          <w:szCs w:val="24"/>
          <w:bdr w:val="none" w:color="auto" w:sz="0" w:space="0"/>
          <w:shd w:val="clear" w:fill="FFFFFF"/>
        </w:rPr>
        <w:t>（五）建立农村物流配送体系。围绕现代物流“3339”体系建设，加快推进区级物流配送中心建设，建立乡（镇）村物流配送站点，打造区、乡（镇）、村三级农村物流配送网络。支持冷链物流配送基地建设，推进源美冷链物流园、川东北电商快递分拨中心建设，鼓励大型快递企业在我区设立区域总部或开设网点，建立第三方、第四方物流；引导邮政物流、“四通一达”、顺丰等物流企业及其他第三方仓储物流服务企业扩大农产品调运能力。鼓励区内物流公司和快递企业在乡镇设立网点，并依托“万村千乡”农家店建设体系，打通农村网络购销运输配送渠道，突破电子商务“最后一公里”，降低物流、仓储成本，提高竞争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pPr>
      <w:r>
        <w:rPr>
          <w:rFonts w:hint="eastAsia" w:ascii="宋体" w:hAnsi="宋体" w:eastAsia="宋体" w:cs="宋体"/>
          <w:b w:val="0"/>
          <w:i w:val="0"/>
          <w:caps w:val="0"/>
          <w:color w:val="333333"/>
          <w:spacing w:val="0"/>
          <w:sz w:val="24"/>
          <w:szCs w:val="24"/>
          <w:bdr w:val="none" w:color="auto" w:sz="0" w:space="0"/>
          <w:shd w:val="clear" w:fill="FFFFFF"/>
        </w:rPr>
        <w:t>（牵头单位：区物流办，责任单位：区经信局、区交运局、区商务局、区供销社、区工业集中区管委会，各乡镇人民政府）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pPr>
      <w:r>
        <w:rPr>
          <w:rFonts w:hint="eastAsia" w:ascii="宋体" w:hAnsi="宋体" w:eastAsia="宋体" w:cs="宋体"/>
          <w:b w:val="0"/>
          <w:i w:val="0"/>
          <w:caps w:val="0"/>
          <w:color w:val="333333"/>
          <w:spacing w:val="0"/>
          <w:sz w:val="24"/>
          <w:szCs w:val="24"/>
          <w:bdr w:val="none" w:color="auto" w:sz="0" w:space="0"/>
          <w:shd w:val="clear" w:fill="FFFFFF"/>
        </w:rPr>
        <w:t>（六）开展农村电商人才培训。依托电子商务公共服务中心，通过与区人社局、区商务局、职业院校和其他第三方机构合作，采取开办培训班、举办讲座、开设论坛等多种形式，开展面向农民、返乡务工人员等的电子商务基础知识、网上开店及技巧、网购操作等技能培训。开展订单式培训，向农村定向输送人才。依托区委党校，每年定期开展基层党政干部电子商务知识培训。注重培训的针对性和成效性，特别是要在农产品电子商务领域培养一批既懂农业又懂电商的专业人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pPr>
      <w:r>
        <w:rPr>
          <w:rFonts w:hint="eastAsia" w:ascii="宋体" w:hAnsi="宋体" w:eastAsia="宋体" w:cs="宋体"/>
          <w:b w:val="0"/>
          <w:i w:val="0"/>
          <w:caps w:val="0"/>
          <w:color w:val="333333"/>
          <w:spacing w:val="0"/>
          <w:sz w:val="24"/>
          <w:szCs w:val="24"/>
          <w:bdr w:val="none" w:color="auto" w:sz="0" w:space="0"/>
          <w:shd w:val="clear" w:fill="FFFFFF"/>
        </w:rPr>
        <w:t>（牵头单位：区商务局，责任单位：区人社局、区农业局、区扶贫移民局、团区委、区妇联，各乡镇人民政府）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pPr>
      <w:r>
        <w:rPr>
          <w:rFonts w:hint="eastAsia" w:ascii="宋体" w:hAnsi="宋体" w:eastAsia="宋体" w:cs="宋体"/>
          <w:b w:val="0"/>
          <w:i w:val="0"/>
          <w:caps w:val="0"/>
          <w:color w:val="333333"/>
          <w:spacing w:val="0"/>
          <w:sz w:val="24"/>
          <w:szCs w:val="24"/>
          <w:bdr w:val="none" w:color="auto" w:sz="0" w:space="0"/>
          <w:shd w:val="clear" w:fill="FFFFFF"/>
        </w:rPr>
        <w:t>（七）强化农村电商服务功能。全面推进光纤宽带进村入户，逐步推进主城区无线网络全覆盖。大力发展信息进村入户，实现一网多用。整合我区现有农资公司、农资经营网点、庄稼医院等农资经营资源，搭建在线服务交易平台，线下提供零点对接服务。探索建立线上投废、线下物流的“互联网+回收”模式，积极推动再生资源回收模式创新。鼓励与服务业企业、金融机构等加强合作，提高大数据分析能力。依托乡镇、村网点逐步叠加手机充值、票务代购、水电气费缴纳、小额取现、信用贷款、家电维修、养老、医疗、土地流转等功能，进一步提高农村生产、生活服务水平，实现城乡互补和融合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pPr>
      <w:r>
        <w:rPr>
          <w:rFonts w:hint="eastAsia" w:ascii="宋体" w:hAnsi="宋体" w:eastAsia="宋体" w:cs="宋体"/>
          <w:b w:val="0"/>
          <w:i w:val="0"/>
          <w:caps w:val="0"/>
          <w:color w:val="333333"/>
          <w:spacing w:val="0"/>
          <w:sz w:val="24"/>
          <w:szCs w:val="24"/>
          <w:bdr w:val="none" w:color="auto" w:sz="0" w:space="0"/>
          <w:shd w:val="clear" w:fill="FFFFFF"/>
        </w:rPr>
        <w:t>（牵头单位：区商务局，责任单位：区财政局、区农工委、区农业局、区政府金融办、区物流办、区供销社，各乡镇人民政府）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pPr>
      <w:r>
        <w:rPr>
          <w:rFonts w:hint="eastAsia" w:ascii="宋体" w:hAnsi="宋体" w:eastAsia="宋体" w:cs="宋体"/>
          <w:b w:val="0"/>
          <w:i w:val="0"/>
          <w:caps w:val="0"/>
          <w:color w:val="333333"/>
          <w:spacing w:val="0"/>
          <w:sz w:val="24"/>
          <w:szCs w:val="24"/>
          <w:bdr w:val="none" w:color="auto" w:sz="0" w:space="0"/>
          <w:shd w:val="clear" w:fill="FFFFFF"/>
        </w:rPr>
        <w:t>三、保障措施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pPr>
      <w:r>
        <w:rPr>
          <w:rFonts w:hint="eastAsia" w:ascii="宋体" w:hAnsi="宋体" w:eastAsia="宋体" w:cs="宋体"/>
          <w:b w:val="0"/>
          <w:i w:val="0"/>
          <w:caps w:val="0"/>
          <w:color w:val="333333"/>
          <w:spacing w:val="0"/>
          <w:sz w:val="24"/>
          <w:szCs w:val="24"/>
          <w:bdr w:val="none" w:color="auto" w:sz="0" w:space="0"/>
          <w:shd w:val="clear" w:fill="FFFFFF"/>
        </w:rPr>
        <w:t>（一）加强组织领导。各乡镇办委、区级相关部门要按照区委、区政府的部署和要求，在区电子商务发展工作领导小组的领导下，统筹安排全区农村电子商务工作推进计划。建立健全农村电子商务发展工作目标责任制，对平台搭建、体系建设、人才培养等工作进行细化量化，列入乡镇（街道）及有关部门年度工作考核，合力推进农村电子商务稳定、健康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pPr>
      <w:r>
        <w:rPr>
          <w:rFonts w:hint="eastAsia" w:ascii="宋体" w:hAnsi="宋体" w:eastAsia="宋体" w:cs="宋体"/>
          <w:b w:val="0"/>
          <w:i w:val="0"/>
          <w:caps w:val="0"/>
          <w:color w:val="333333"/>
          <w:spacing w:val="0"/>
          <w:sz w:val="24"/>
          <w:szCs w:val="24"/>
          <w:bdr w:val="none" w:color="auto" w:sz="0" w:space="0"/>
          <w:shd w:val="clear" w:fill="FFFFFF"/>
        </w:rPr>
        <w:t>（二）强化密切协作。各乡镇办委、区级部门要根据自身职责加强在项目推进、政策措施、标准制定等方面的协调配合，拟定具体工作目标、任务、举措和完成时限，形成推进农村电子商务发展的合力，确保各项工作任务有效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pPr>
      <w:r>
        <w:rPr>
          <w:rFonts w:hint="eastAsia" w:ascii="宋体" w:hAnsi="宋体" w:eastAsia="宋体" w:cs="宋体"/>
          <w:b w:val="0"/>
          <w:i w:val="0"/>
          <w:caps w:val="0"/>
          <w:color w:val="333333"/>
          <w:spacing w:val="0"/>
          <w:sz w:val="24"/>
          <w:szCs w:val="24"/>
          <w:bdr w:val="none" w:color="auto" w:sz="0" w:space="0"/>
          <w:shd w:val="clear" w:fill="FFFFFF"/>
        </w:rPr>
        <w:t>（三）加大政策支持。落实电商各类扶持政策，支持农村网络基础设施、公共服务平台、产业集聚区、运营服务体系和人才培养工作等重点项目建设，为农村电子商务加快发展提供有力的政策保障。鼓励金融部门加大农村电子商务和企业信贷投放力度，创新信贷产品，降低贷款门槛，简化贷款程序，降低电子商务企业融资成本。强化土地要素保障，对电子商务产业发展具有重大意义的项目建设实行“一事一议”政策，力争项目落地。严格执行有关电子商务产业税费的优惠政策，创造有利于电子商务产业发展的良好环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pPr>
      <w:r>
        <w:rPr>
          <w:rFonts w:hint="eastAsia" w:ascii="宋体" w:hAnsi="宋体" w:eastAsia="宋体" w:cs="宋体"/>
          <w:b w:val="0"/>
          <w:i w:val="0"/>
          <w:caps w:val="0"/>
          <w:color w:val="333333"/>
          <w:spacing w:val="0"/>
          <w:sz w:val="24"/>
          <w:szCs w:val="24"/>
          <w:bdr w:val="none" w:color="auto" w:sz="0" w:space="0"/>
          <w:shd w:val="clear" w:fill="FFFFFF"/>
        </w:rPr>
        <w:t>（四）强化宣传推广。充分利用广播、电台和达州新闻网、区政府网等门户网站和凤凰山下论坛、微信等资源，加大电子商务知识、政策、法规及广告宣传，鼓励网上创业，宣传推广网商经验，营造浓厚的农村电商发展氛围，推动电子商务进农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pPr>
      <w:r>
        <w:rPr>
          <w:rFonts w:hint="eastAsia" w:ascii="宋体" w:hAnsi="宋体" w:eastAsia="宋体" w:cs="宋体"/>
          <w:b w:val="0"/>
          <w:i w:val="0"/>
          <w:caps w:val="0"/>
          <w:color w:val="333333"/>
          <w:spacing w:val="0"/>
          <w:sz w:val="24"/>
          <w:szCs w:val="24"/>
          <w:bdr w:val="none" w:color="auto" w:sz="0" w:space="0"/>
          <w:shd w:val="clear" w:fill="FFFFFF"/>
        </w:rPr>
        <w:t>（五）强化监督落实。区电子商务发展工作领导小组要将推动农村电子商务发展列入重点工作议事日程，要建立农村电子商务发展目标任务考核机制，围绕农村电子商务重大项目建设、政策措施制定、人才培养等工作，开展目标责任督查。要强化中期督导检查，建立工作进度通报，及时总结推广经验做法，全力推进我区农村电子商务发展迈上新台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81695F"/>
    <w:rsid w:val="2E8169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2018-05-23T13:17:00Z</dcterms:created>
  <dc:creator>air</dc:creator>
  <cp:lastModifiedBy>air</cp:lastModifiedBy>
  <dcterms:modified xsi:type="dcterms:W3CDTF">2018-05-23T13:17:56Z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