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67B" w:rsidRPr="002A167B" w:rsidRDefault="002A167B" w:rsidP="002A167B">
      <w:pPr>
        <w:widowControl/>
        <w:spacing w:before="100" w:beforeAutospacing="1" w:after="100" w:afterAutospacing="1" w:line="600" w:lineRule="atLeast"/>
        <w:jc w:val="center"/>
        <w:outlineLvl w:val="2"/>
        <w:rPr>
          <w:rFonts w:ascii="微软雅黑" w:eastAsia="微软雅黑" w:hAnsi="微软雅黑" w:cs="宋体"/>
          <w:color w:val="333333"/>
          <w:kern w:val="0"/>
          <w:sz w:val="39"/>
          <w:szCs w:val="39"/>
        </w:rPr>
      </w:pPr>
      <w:bookmarkStart w:id="0" w:name="_GoBack"/>
      <w:r w:rsidRPr="002A167B">
        <w:rPr>
          <w:rFonts w:ascii="微软雅黑" w:eastAsia="微软雅黑" w:hAnsi="微软雅黑" w:cs="宋体" w:hint="eastAsia"/>
          <w:color w:val="333333"/>
          <w:kern w:val="0"/>
          <w:sz w:val="39"/>
          <w:szCs w:val="39"/>
        </w:rPr>
        <w:t>港政办〔2017〕16号区人民政府办公室印发关于加快发展楼宇经济的暂行办法的通知</w:t>
      </w:r>
    </w:p>
    <w:bookmarkEnd w:id="0"/>
    <w:p w:rsidR="002A167B" w:rsidRPr="002A167B" w:rsidRDefault="002A167B" w:rsidP="002A167B">
      <w:pPr>
        <w:widowControl/>
        <w:spacing w:before="100" w:beforeAutospacing="1" w:after="100" w:afterAutospacing="1" w:line="520" w:lineRule="atLeast"/>
        <w:jc w:val="left"/>
        <w:rPr>
          <w:rFonts w:ascii="宋体" w:eastAsia="宋体" w:hAnsi="宋体" w:cs="宋体" w:hint="eastAsia"/>
          <w:color w:val="333333"/>
          <w:kern w:val="0"/>
          <w:sz w:val="24"/>
          <w:szCs w:val="24"/>
        </w:rPr>
      </w:pPr>
      <w:r w:rsidRPr="002A167B">
        <w:rPr>
          <w:rFonts w:ascii="仿宋_GB2312" w:eastAsia="仿宋_GB2312" w:hAnsi="宋体" w:cs="宋体" w:hint="eastAsia"/>
          <w:color w:val="333333"/>
          <w:kern w:val="0"/>
          <w:sz w:val="24"/>
          <w:szCs w:val="24"/>
        </w:rPr>
        <w:t>江北管理区、各街道办事处、区直各部门：</w:t>
      </w:r>
    </w:p>
    <w:p w:rsidR="002A167B" w:rsidRPr="002A167B" w:rsidRDefault="002A167B" w:rsidP="002A167B">
      <w:pPr>
        <w:widowControl/>
        <w:spacing w:before="100" w:beforeAutospacing="1" w:after="100" w:afterAutospacing="1" w:line="579" w:lineRule="atLeast"/>
        <w:ind w:firstLine="640"/>
        <w:jc w:val="left"/>
        <w:rPr>
          <w:rFonts w:ascii="宋体" w:eastAsia="宋体" w:hAnsi="宋体" w:cs="宋体"/>
          <w:color w:val="333333"/>
          <w:kern w:val="0"/>
          <w:sz w:val="24"/>
          <w:szCs w:val="24"/>
        </w:rPr>
      </w:pPr>
      <w:r w:rsidRPr="002A167B">
        <w:rPr>
          <w:rFonts w:ascii="仿宋_GB2312" w:eastAsia="仿宋_GB2312" w:hAnsi="宋体" w:cs="宋体" w:hint="eastAsia"/>
          <w:color w:val="000000"/>
          <w:kern w:val="0"/>
          <w:sz w:val="24"/>
          <w:szCs w:val="24"/>
        </w:rPr>
        <w:t>《关于加快发展楼宇经济的暂行办法》已经区政府同意，现印发给你们，请结合实际认真遵照执行。</w:t>
      </w:r>
    </w:p>
    <w:p w:rsidR="002A167B" w:rsidRPr="002A167B" w:rsidRDefault="002A167B" w:rsidP="002A167B">
      <w:pPr>
        <w:widowControl/>
        <w:spacing w:before="100" w:beforeAutospacing="1" w:after="100" w:afterAutospacing="1" w:line="579" w:lineRule="atLeast"/>
        <w:ind w:firstLine="640"/>
        <w:jc w:val="left"/>
        <w:rPr>
          <w:rFonts w:ascii="宋体" w:eastAsia="宋体" w:hAnsi="宋体" w:cs="宋体"/>
          <w:color w:val="333333"/>
          <w:kern w:val="0"/>
          <w:sz w:val="24"/>
          <w:szCs w:val="24"/>
        </w:rPr>
      </w:pPr>
      <w:r w:rsidRPr="002A167B">
        <w:rPr>
          <w:rFonts w:ascii="仿宋_GB2312" w:eastAsia="仿宋_GB2312" w:hAnsi="宋体" w:cs="宋体" w:hint="eastAsia"/>
          <w:color w:val="000000"/>
          <w:kern w:val="0"/>
          <w:sz w:val="24"/>
          <w:szCs w:val="24"/>
        </w:rPr>
        <w:t> </w:t>
      </w:r>
    </w:p>
    <w:p w:rsidR="002A167B" w:rsidRPr="002A167B" w:rsidRDefault="002A167B" w:rsidP="002A167B">
      <w:pPr>
        <w:widowControl/>
        <w:spacing w:before="100" w:beforeAutospacing="1" w:after="100" w:afterAutospacing="1" w:line="579" w:lineRule="atLeast"/>
        <w:ind w:right="630"/>
        <w:jc w:val="right"/>
        <w:rPr>
          <w:rFonts w:ascii="宋体" w:eastAsia="宋体" w:hAnsi="宋体" w:cs="宋体"/>
          <w:color w:val="333333"/>
          <w:kern w:val="0"/>
          <w:sz w:val="24"/>
          <w:szCs w:val="24"/>
        </w:rPr>
      </w:pPr>
      <w:r w:rsidRPr="002A167B">
        <w:rPr>
          <w:rFonts w:ascii="仿宋_GB2312" w:eastAsia="仿宋_GB2312" w:hAnsi="宋体" w:cs="宋体" w:hint="eastAsia"/>
          <w:color w:val="333333"/>
          <w:kern w:val="0"/>
          <w:sz w:val="24"/>
          <w:szCs w:val="24"/>
        </w:rPr>
        <w:t> </w:t>
      </w:r>
    </w:p>
    <w:p w:rsidR="002A167B" w:rsidRPr="002A167B" w:rsidRDefault="002A167B" w:rsidP="002A167B">
      <w:pPr>
        <w:widowControl/>
        <w:spacing w:before="100" w:beforeAutospacing="1" w:after="100" w:afterAutospacing="1" w:line="579" w:lineRule="atLeast"/>
        <w:ind w:right="630"/>
        <w:jc w:val="right"/>
        <w:rPr>
          <w:rFonts w:ascii="宋体" w:eastAsia="宋体" w:hAnsi="宋体" w:cs="宋体"/>
          <w:color w:val="333333"/>
          <w:kern w:val="0"/>
          <w:sz w:val="24"/>
          <w:szCs w:val="24"/>
        </w:rPr>
      </w:pPr>
      <w:r w:rsidRPr="002A167B">
        <w:rPr>
          <w:rFonts w:ascii="仿宋_GB2312" w:eastAsia="仿宋_GB2312" w:hAnsi="宋体" w:cs="宋体" w:hint="eastAsia"/>
          <w:color w:val="333333"/>
          <w:kern w:val="0"/>
          <w:sz w:val="24"/>
          <w:szCs w:val="24"/>
        </w:rPr>
        <w:t>黄石港区人民政府办公室</w:t>
      </w:r>
    </w:p>
    <w:p w:rsidR="002A167B" w:rsidRPr="002A167B" w:rsidRDefault="002A167B" w:rsidP="002A167B">
      <w:pPr>
        <w:widowControl/>
        <w:tabs>
          <w:tab w:val="left" w:pos="5103"/>
          <w:tab w:val="left" w:pos="8364"/>
        </w:tabs>
        <w:spacing w:before="100" w:beforeAutospacing="1" w:after="100" w:afterAutospacing="1" w:line="579" w:lineRule="atLeast"/>
        <w:ind w:right="339"/>
        <w:jc w:val="left"/>
        <w:rPr>
          <w:rFonts w:ascii="宋体" w:eastAsia="宋体" w:hAnsi="宋体" w:cs="宋体"/>
          <w:color w:val="333333"/>
          <w:kern w:val="0"/>
          <w:sz w:val="24"/>
          <w:szCs w:val="24"/>
        </w:rPr>
      </w:pPr>
      <w:r w:rsidRPr="002A167B">
        <w:rPr>
          <w:rFonts w:ascii="仿宋_GB2312" w:eastAsia="仿宋_GB2312" w:hAnsi="宋体" w:cs="宋体" w:hint="eastAsia"/>
          <w:color w:val="333333"/>
          <w:spacing w:val="20"/>
          <w:kern w:val="0"/>
          <w:sz w:val="24"/>
          <w:szCs w:val="24"/>
        </w:rPr>
        <w:t>                          </w:t>
      </w:r>
      <w:r w:rsidRPr="002A167B">
        <w:rPr>
          <w:rFonts w:ascii="仿宋_GB2312" w:eastAsia="仿宋_GB2312" w:hAnsi="宋体" w:cs="宋体" w:hint="eastAsia"/>
          <w:color w:val="333333"/>
          <w:spacing w:val="20"/>
          <w:kern w:val="0"/>
          <w:sz w:val="24"/>
          <w:szCs w:val="24"/>
        </w:rPr>
        <w:t xml:space="preserve"> 2017年5月2日</w:t>
      </w:r>
    </w:p>
    <w:p w:rsidR="002A167B" w:rsidRPr="002A167B" w:rsidRDefault="002A167B" w:rsidP="002A167B">
      <w:pPr>
        <w:widowControl/>
        <w:spacing w:before="100" w:beforeAutospacing="1" w:after="100" w:afterAutospacing="1" w:line="579" w:lineRule="atLeast"/>
        <w:jc w:val="center"/>
        <w:rPr>
          <w:rFonts w:ascii="宋体" w:eastAsia="宋体" w:hAnsi="宋体" w:cs="宋体"/>
          <w:color w:val="333333"/>
          <w:kern w:val="0"/>
          <w:sz w:val="24"/>
          <w:szCs w:val="24"/>
        </w:rPr>
      </w:pPr>
      <w:r w:rsidRPr="002A167B">
        <w:rPr>
          <w:rFonts w:ascii="仿宋_GB2312" w:eastAsia="仿宋_GB2312" w:hAnsi="宋体" w:cs="宋体" w:hint="eastAsia"/>
          <w:color w:val="333333"/>
          <w:kern w:val="0"/>
          <w:sz w:val="44"/>
          <w:szCs w:val="44"/>
        </w:rPr>
        <w:t> </w:t>
      </w:r>
    </w:p>
    <w:p w:rsidR="002A167B" w:rsidRPr="002A167B" w:rsidRDefault="002A167B" w:rsidP="002A167B">
      <w:pPr>
        <w:widowControl/>
        <w:spacing w:before="100" w:beforeAutospacing="1" w:after="100" w:afterAutospacing="1" w:line="579" w:lineRule="atLeast"/>
        <w:jc w:val="center"/>
        <w:rPr>
          <w:rFonts w:ascii="宋体" w:eastAsia="宋体" w:hAnsi="宋体" w:cs="宋体"/>
          <w:color w:val="333333"/>
          <w:kern w:val="0"/>
          <w:sz w:val="24"/>
          <w:szCs w:val="24"/>
        </w:rPr>
      </w:pPr>
      <w:r w:rsidRPr="002A167B">
        <w:rPr>
          <w:rFonts w:ascii="方正小标宋简体" w:eastAsia="方正小标宋简体" w:hAnsi="宋体" w:cs="宋体" w:hint="eastAsia"/>
          <w:color w:val="333333"/>
          <w:kern w:val="0"/>
          <w:sz w:val="44"/>
          <w:szCs w:val="44"/>
        </w:rPr>
        <w:t>关于加快发展楼宇经济的暂行办法</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宋体" w:eastAsia="宋体" w:hAnsi="宋体" w:cs="宋体"/>
          <w:color w:val="333333"/>
          <w:kern w:val="0"/>
          <w:sz w:val="24"/>
          <w:szCs w:val="24"/>
        </w:rPr>
        <w:t> </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为鼓励和促进我区楼宇经济发展，吸引一批现代服务业企业和企业总部到我区商务楼宇发展，打造各具行业特色的专业楼宇，促进产业结构调整和经济转型升级，加快“四新”（新技术、新产业、新业态、新模式）经济发展。结合我区实际，制定本办法。</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黑体" w:eastAsia="黑体" w:hAnsi="黑体" w:cs="宋体" w:hint="eastAsia"/>
          <w:color w:val="333333"/>
          <w:kern w:val="0"/>
          <w:sz w:val="24"/>
          <w:szCs w:val="24"/>
        </w:rPr>
        <w:lastRenderedPageBreak/>
        <w:t>一、适应范围及对象</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本办法所指商务楼宇是经区经信商务局、区财政局联合认定，建筑面积在</w:t>
      </w:r>
      <w:r w:rsidRPr="002A167B">
        <w:rPr>
          <w:rFonts w:ascii="宋体" w:eastAsia="宋体" w:hAnsi="宋体" w:cs="宋体"/>
          <w:color w:val="333333"/>
          <w:kern w:val="0"/>
          <w:sz w:val="24"/>
          <w:szCs w:val="24"/>
        </w:rPr>
        <w:t>2000</w:t>
      </w:r>
      <w:r w:rsidRPr="002A167B">
        <w:rPr>
          <w:rFonts w:ascii="方正仿宋简体" w:eastAsia="方正仿宋简体" w:hAnsi="宋体" w:cs="宋体" w:hint="eastAsia"/>
          <w:color w:val="333333"/>
          <w:kern w:val="0"/>
          <w:sz w:val="24"/>
          <w:szCs w:val="24"/>
        </w:rPr>
        <w:t>平方米以上的商务商业楼、城市综合体、科研楼（含科技孵化器）等楼宇建筑（不包括行政、事业单位自用房，工业厂房、宾馆，专业市场，医院，学校等建筑），以及建筑面积在</w:t>
      </w:r>
      <w:r w:rsidRPr="002A167B">
        <w:rPr>
          <w:rFonts w:ascii="宋体" w:eastAsia="宋体" w:hAnsi="宋体" w:cs="宋体"/>
          <w:color w:val="333333"/>
          <w:kern w:val="0"/>
          <w:sz w:val="24"/>
          <w:szCs w:val="24"/>
        </w:rPr>
        <w:t>2000</w:t>
      </w:r>
      <w:r w:rsidRPr="002A167B">
        <w:rPr>
          <w:rFonts w:ascii="方正仿宋简体" w:eastAsia="方正仿宋简体" w:hAnsi="宋体" w:cs="宋体" w:hint="eastAsia"/>
          <w:color w:val="333333"/>
          <w:kern w:val="0"/>
          <w:sz w:val="24"/>
          <w:szCs w:val="24"/>
        </w:rPr>
        <w:t>平方米（含）以上的纯商务楼宇（上述楼宇统称商务楼宇）。</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宋体" w:eastAsia="宋体" w:hAnsi="宋体" w:cs="宋体"/>
          <w:color w:val="333333"/>
          <w:kern w:val="0"/>
          <w:sz w:val="24"/>
          <w:szCs w:val="24"/>
        </w:rPr>
        <w:t>2017</w:t>
      </w:r>
      <w:r w:rsidRPr="002A167B">
        <w:rPr>
          <w:rFonts w:ascii="方正仿宋简体" w:eastAsia="方正仿宋简体" w:hAnsi="宋体" w:cs="宋体" w:hint="eastAsia"/>
          <w:color w:val="333333"/>
          <w:kern w:val="0"/>
          <w:sz w:val="24"/>
          <w:szCs w:val="24"/>
        </w:rPr>
        <w:t>年</w:t>
      </w:r>
      <w:r w:rsidRPr="002A167B">
        <w:rPr>
          <w:rFonts w:ascii="宋体" w:eastAsia="宋体" w:hAnsi="宋体" w:cs="宋体"/>
          <w:color w:val="333333"/>
          <w:kern w:val="0"/>
          <w:sz w:val="24"/>
          <w:szCs w:val="24"/>
        </w:rPr>
        <w:t>1</w:t>
      </w:r>
      <w:r w:rsidRPr="002A167B">
        <w:rPr>
          <w:rFonts w:ascii="方正仿宋简体" w:eastAsia="方正仿宋简体" w:hAnsi="宋体" w:cs="宋体" w:hint="eastAsia"/>
          <w:color w:val="333333"/>
          <w:kern w:val="0"/>
          <w:sz w:val="24"/>
          <w:szCs w:val="24"/>
        </w:rPr>
        <w:t>月</w:t>
      </w:r>
      <w:r w:rsidRPr="002A167B">
        <w:rPr>
          <w:rFonts w:ascii="宋体" w:eastAsia="宋体" w:hAnsi="宋体" w:cs="宋体"/>
          <w:color w:val="333333"/>
          <w:kern w:val="0"/>
          <w:sz w:val="24"/>
          <w:szCs w:val="24"/>
        </w:rPr>
        <w:t>1</w:t>
      </w:r>
      <w:r w:rsidRPr="002A167B">
        <w:rPr>
          <w:rFonts w:ascii="方正仿宋简体" w:eastAsia="方正仿宋简体" w:hAnsi="宋体" w:cs="宋体" w:hint="eastAsia"/>
          <w:color w:val="333333"/>
          <w:kern w:val="0"/>
          <w:sz w:val="24"/>
          <w:szCs w:val="24"/>
        </w:rPr>
        <w:t>日以后入驻的、符合以下四个条件之一的企业可认定为商务楼宇企业：（</w:t>
      </w:r>
      <w:r w:rsidRPr="002A167B">
        <w:rPr>
          <w:rFonts w:ascii="宋体" w:eastAsia="宋体" w:hAnsi="宋体" w:cs="宋体"/>
          <w:color w:val="333333"/>
          <w:kern w:val="0"/>
          <w:sz w:val="24"/>
          <w:szCs w:val="24"/>
        </w:rPr>
        <w:t>1</w:t>
      </w:r>
      <w:r w:rsidRPr="002A167B">
        <w:rPr>
          <w:rFonts w:ascii="方正仿宋简体" w:eastAsia="方正仿宋简体" w:hAnsi="宋体" w:cs="宋体" w:hint="eastAsia"/>
          <w:color w:val="333333"/>
          <w:kern w:val="0"/>
          <w:sz w:val="24"/>
          <w:szCs w:val="24"/>
        </w:rPr>
        <w:t>）在黄石港区注册登记、区内纳税的新成立企业；（</w:t>
      </w:r>
      <w:r w:rsidRPr="002A167B">
        <w:rPr>
          <w:rFonts w:ascii="宋体" w:eastAsia="宋体" w:hAnsi="宋体" w:cs="宋体"/>
          <w:color w:val="333333"/>
          <w:kern w:val="0"/>
          <w:sz w:val="24"/>
          <w:szCs w:val="24"/>
        </w:rPr>
        <w:t>2</w:t>
      </w:r>
      <w:r w:rsidRPr="002A167B">
        <w:rPr>
          <w:rFonts w:ascii="方正仿宋简体" w:eastAsia="方正仿宋简体" w:hAnsi="宋体" w:cs="宋体" w:hint="eastAsia"/>
          <w:color w:val="333333"/>
          <w:kern w:val="0"/>
          <w:sz w:val="24"/>
          <w:szCs w:val="24"/>
        </w:rPr>
        <w:t>）在黄石港区注册登记、区外纳税，现转入区内纳税的企业；（</w:t>
      </w:r>
      <w:r w:rsidRPr="002A167B">
        <w:rPr>
          <w:rFonts w:ascii="宋体" w:eastAsia="宋体" w:hAnsi="宋体" w:cs="宋体"/>
          <w:color w:val="333333"/>
          <w:kern w:val="0"/>
          <w:sz w:val="24"/>
          <w:szCs w:val="24"/>
        </w:rPr>
        <w:t>3</w:t>
      </w:r>
      <w:r w:rsidRPr="002A167B">
        <w:rPr>
          <w:rFonts w:ascii="方正仿宋简体" w:eastAsia="方正仿宋简体" w:hAnsi="宋体" w:cs="宋体" w:hint="eastAsia"/>
          <w:color w:val="333333"/>
          <w:kern w:val="0"/>
          <w:sz w:val="24"/>
          <w:szCs w:val="24"/>
        </w:rPr>
        <w:t>）在黄石港区外注册登记、区外纳税，现转入区内纳税的企业；（</w:t>
      </w:r>
      <w:r w:rsidRPr="002A167B">
        <w:rPr>
          <w:rFonts w:ascii="宋体" w:eastAsia="宋体" w:hAnsi="宋体" w:cs="宋体"/>
          <w:color w:val="333333"/>
          <w:kern w:val="0"/>
          <w:sz w:val="24"/>
          <w:szCs w:val="24"/>
        </w:rPr>
        <w:t>4</w:t>
      </w:r>
      <w:r w:rsidRPr="002A167B">
        <w:rPr>
          <w:rFonts w:ascii="方正仿宋简体" w:eastAsia="方正仿宋简体" w:hAnsi="宋体" w:cs="宋体" w:hint="eastAsia"/>
          <w:color w:val="333333"/>
          <w:kern w:val="0"/>
          <w:sz w:val="24"/>
          <w:szCs w:val="24"/>
        </w:rPr>
        <w:t>）进驻楼宇以从事创意产业、都市型工业、生产性服务业的企业为主，如高新科技企业、金融机构、结算中心、研发中心、营销中心、律师事务所、会计事务所、咨询中介公司、工业设计公司、动漫公司、文化创意公司、影视制作公司以及网络公司等。</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黑体" w:eastAsia="黑体" w:hAnsi="黑体" w:cs="宋体" w:hint="eastAsia"/>
          <w:color w:val="333333"/>
          <w:kern w:val="0"/>
          <w:sz w:val="24"/>
          <w:szCs w:val="24"/>
        </w:rPr>
        <w:t>二、扶持政策</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（一）对采取购买方式新落户的区外新注册企业（工商登记和税务登记地需一致，下同），</w:t>
      </w:r>
      <w:r w:rsidRPr="002A167B">
        <w:rPr>
          <w:rFonts w:ascii="宋体" w:eastAsia="宋体" w:hAnsi="宋体" w:cs="宋体"/>
          <w:color w:val="333333"/>
          <w:kern w:val="0"/>
          <w:sz w:val="24"/>
          <w:szCs w:val="24"/>
        </w:rPr>
        <w:t>3</w:t>
      </w:r>
      <w:r w:rsidRPr="002A167B">
        <w:rPr>
          <w:rFonts w:ascii="方正仿宋简体" w:eastAsia="方正仿宋简体" w:hAnsi="宋体" w:cs="宋体" w:hint="eastAsia"/>
          <w:color w:val="333333"/>
          <w:kern w:val="0"/>
          <w:sz w:val="24"/>
          <w:szCs w:val="24"/>
        </w:rPr>
        <w:t>年内分别按照其实缴税收区级留成部分的</w:t>
      </w:r>
      <w:r w:rsidRPr="002A167B">
        <w:rPr>
          <w:rFonts w:ascii="宋体" w:eastAsia="宋体" w:hAnsi="宋体" w:cs="宋体"/>
          <w:color w:val="333333"/>
          <w:kern w:val="0"/>
          <w:sz w:val="24"/>
          <w:szCs w:val="24"/>
        </w:rPr>
        <w:t>100%</w:t>
      </w:r>
      <w:r w:rsidRPr="002A167B">
        <w:rPr>
          <w:rFonts w:ascii="方正仿宋简体" w:eastAsia="方正仿宋简体" w:hAnsi="宋体" w:cs="宋体" w:hint="eastAsia"/>
          <w:color w:val="333333"/>
          <w:kern w:val="0"/>
          <w:sz w:val="24"/>
          <w:szCs w:val="24"/>
        </w:rPr>
        <w:t>、</w:t>
      </w:r>
      <w:r w:rsidRPr="002A167B">
        <w:rPr>
          <w:rFonts w:ascii="宋体" w:eastAsia="宋体" w:hAnsi="宋体" w:cs="宋体"/>
          <w:color w:val="333333"/>
          <w:kern w:val="0"/>
          <w:sz w:val="24"/>
          <w:szCs w:val="24"/>
        </w:rPr>
        <w:t>80%</w:t>
      </w:r>
      <w:r w:rsidRPr="002A167B">
        <w:rPr>
          <w:rFonts w:ascii="方正仿宋简体" w:eastAsia="方正仿宋简体" w:hAnsi="宋体" w:cs="宋体" w:hint="eastAsia"/>
          <w:color w:val="333333"/>
          <w:kern w:val="0"/>
          <w:sz w:val="24"/>
          <w:szCs w:val="24"/>
        </w:rPr>
        <w:t>、</w:t>
      </w:r>
      <w:r w:rsidRPr="002A167B">
        <w:rPr>
          <w:rFonts w:ascii="宋体" w:eastAsia="宋体" w:hAnsi="宋体" w:cs="宋体"/>
          <w:color w:val="333333"/>
          <w:kern w:val="0"/>
          <w:sz w:val="24"/>
          <w:szCs w:val="24"/>
        </w:rPr>
        <w:t>60%</w:t>
      </w:r>
      <w:r w:rsidRPr="002A167B">
        <w:rPr>
          <w:rFonts w:ascii="方正仿宋简体" w:eastAsia="方正仿宋简体" w:hAnsi="宋体" w:cs="宋体" w:hint="eastAsia"/>
          <w:color w:val="333333"/>
          <w:kern w:val="0"/>
          <w:sz w:val="24"/>
          <w:szCs w:val="24"/>
        </w:rPr>
        <w:t>给予奖励。</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（二）对采取租赁方式新落户的区外新注册企业，自企业产生税收起</w:t>
      </w:r>
      <w:r w:rsidRPr="002A167B">
        <w:rPr>
          <w:rFonts w:ascii="宋体" w:eastAsia="宋体" w:hAnsi="宋体" w:cs="宋体"/>
          <w:color w:val="333333"/>
          <w:kern w:val="0"/>
          <w:sz w:val="24"/>
          <w:szCs w:val="24"/>
        </w:rPr>
        <w:t>3</w:t>
      </w:r>
      <w:r w:rsidRPr="002A167B">
        <w:rPr>
          <w:rFonts w:ascii="方正仿宋简体" w:eastAsia="方正仿宋简体" w:hAnsi="宋体" w:cs="宋体" w:hint="eastAsia"/>
          <w:color w:val="333333"/>
          <w:kern w:val="0"/>
          <w:sz w:val="24"/>
          <w:szCs w:val="24"/>
        </w:rPr>
        <w:t>年内，每月给予每平方米</w:t>
      </w:r>
      <w:r w:rsidRPr="002A167B">
        <w:rPr>
          <w:rFonts w:ascii="宋体" w:eastAsia="宋体" w:hAnsi="宋体" w:cs="宋体"/>
          <w:color w:val="333333"/>
          <w:kern w:val="0"/>
          <w:sz w:val="24"/>
          <w:szCs w:val="24"/>
        </w:rPr>
        <w:t>8</w:t>
      </w:r>
      <w:r w:rsidRPr="002A167B">
        <w:rPr>
          <w:rFonts w:ascii="方正仿宋简体" w:eastAsia="方正仿宋简体" w:hAnsi="宋体" w:cs="宋体" w:hint="eastAsia"/>
          <w:color w:val="333333"/>
          <w:kern w:val="0"/>
          <w:sz w:val="24"/>
          <w:szCs w:val="24"/>
        </w:rPr>
        <w:t>—</w:t>
      </w:r>
      <w:r w:rsidRPr="002A167B">
        <w:rPr>
          <w:rFonts w:ascii="宋体" w:eastAsia="宋体" w:hAnsi="宋体" w:cs="宋体"/>
          <w:color w:val="333333"/>
          <w:kern w:val="0"/>
          <w:sz w:val="24"/>
          <w:szCs w:val="24"/>
        </w:rPr>
        <w:t>10</w:t>
      </w:r>
      <w:r w:rsidRPr="002A167B">
        <w:rPr>
          <w:rFonts w:ascii="方正仿宋简体" w:eastAsia="方正仿宋简体" w:hAnsi="宋体" w:cs="宋体" w:hint="eastAsia"/>
          <w:color w:val="333333"/>
          <w:kern w:val="0"/>
          <w:sz w:val="24"/>
          <w:szCs w:val="24"/>
        </w:rPr>
        <w:t>元补助。</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（三）鼓励商务楼宇引进研发设计、金融服务、电子商务、文化创意、教育培训、咨询信息、</w:t>
      </w:r>
      <w:r w:rsidRPr="002A167B">
        <w:rPr>
          <w:rFonts w:ascii="宋体" w:eastAsia="宋体" w:hAnsi="宋体" w:cs="宋体"/>
          <w:color w:val="333333"/>
          <w:kern w:val="0"/>
          <w:sz w:val="24"/>
          <w:szCs w:val="24"/>
        </w:rPr>
        <w:t>IT</w:t>
      </w:r>
      <w:r w:rsidRPr="002A167B">
        <w:rPr>
          <w:rFonts w:ascii="方正仿宋简体" w:eastAsia="方正仿宋简体" w:hAnsi="宋体" w:cs="宋体" w:hint="eastAsia"/>
          <w:color w:val="333333"/>
          <w:kern w:val="0"/>
          <w:sz w:val="24"/>
          <w:szCs w:val="24"/>
        </w:rPr>
        <w:t>资讯、展会服务、中介服务、企业服务（智力资本、</w:t>
      </w:r>
      <w:r w:rsidRPr="002A167B">
        <w:rPr>
          <w:rFonts w:ascii="方正仿宋简体" w:eastAsia="方正仿宋简体" w:hAnsi="宋体" w:cs="宋体" w:hint="eastAsia"/>
          <w:color w:val="333333"/>
          <w:kern w:val="0"/>
          <w:sz w:val="24"/>
          <w:szCs w:val="24"/>
        </w:rPr>
        <w:lastRenderedPageBreak/>
        <w:t>商务活动）等同行业优质项目，实现高端业态聚集。楼宇内入驻企业属于同行业或相关行业的比例分别达到</w:t>
      </w:r>
      <w:r w:rsidRPr="002A167B">
        <w:rPr>
          <w:rFonts w:ascii="宋体" w:eastAsia="宋体" w:hAnsi="宋体" w:cs="宋体"/>
          <w:color w:val="333333"/>
          <w:kern w:val="0"/>
          <w:sz w:val="24"/>
          <w:szCs w:val="24"/>
        </w:rPr>
        <w:t>40%</w:t>
      </w:r>
      <w:r w:rsidRPr="002A167B">
        <w:rPr>
          <w:rFonts w:ascii="方正仿宋简体" w:eastAsia="方正仿宋简体" w:hAnsi="宋体" w:cs="宋体" w:hint="eastAsia"/>
          <w:color w:val="333333"/>
          <w:kern w:val="0"/>
          <w:sz w:val="24"/>
          <w:szCs w:val="24"/>
        </w:rPr>
        <w:t>、</w:t>
      </w:r>
      <w:r w:rsidRPr="002A167B">
        <w:rPr>
          <w:rFonts w:ascii="宋体" w:eastAsia="宋体" w:hAnsi="宋体" w:cs="宋体"/>
          <w:color w:val="333333"/>
          <w:kern w:val="0"/>
          <w:sz w:val="24"/>
          <w:szCs w:val="24"/>
        </w:rPr>
        <w:t>60%</w:t>
      </w:r>
      <w:r w:rsidRPr="002A167B">
        <w:rPr>
          <w:rFonts w:ascii="方正仿宋简体" w:eastAsia="方正仿宋简体" w:hAnsi="宋体" w:cs="宋体" w:hint="eastAsia"/>
          <w:color w:val="333333"/>
          <w:kern w:val="0"/>
          <w:sz w:val="24"/>
          <w:szCs w:val="24"/>
        </w:rPr>
        <w:t>以上（按实际使用面积计算），经认定，分别给予楼宇招商主体</w:t>
      </w:r>
      <w:r w:rsidRPr="002A167B">
        <w:rPr>
          <w:rFonts w:ascii="宋体" w:eastAsia="宋体" w:hAnsi="宋体" w:cs="宋体"/>
          <w:color w:val="333333"/>
          <w:kern w:val="0"/>
          <w:sz w:val="24"/>
          <w:szCs w:val="24"/>
        </w:rPr>
        <w:t>20</w:t>
      </w:r>
      <w:r w:rsidRPr="002A167B">
        <w:rPr>
          <w:rFonts w:ascii="方正仿宋简体" w:eastAsia="方正仿宋简体" w:hAnsi="宋体" w:cs="宋体" w:hint="eastAsia"/>
          <w:color w:val="333333"/>
          <w:kern w:val="0"/>
          <w:sz w:val="24"/>
          <w:szCs w:val="24"/>
        </w:rPr>
        <w:t>万元、</w:t>
      </w:r>
      <w:r w:rsidRPr="002A167B">
        <w:rPr>
          <w:rFonts w:ascii="宋体" w:eastAsia="宋体" w:hAnsi="宋体" w:cs="宋体"/>
          <w:color w:val="333333"/>
          <w:kern w:val="0"/>
          <w:sz w:val="24"/>
          <w:szCs w:val="24"/>
        </w:rPr>
        <w:t>30</w:t>
      </w:r>
      <w:r w:rsidRPr="002A167B">
        <w:rPr>
          <w:rFonts w:ascii="方正仿宋简体" w:eastAsia="方正仿宋简体" w:hAnsi="宋体" w:cs="宋体" w:hint="eastAsia"/>
          <w:color w:val="333333"/>
          <w:kern w:val="0"/>
          <w:sz w:val="24"/>
          <w:szCs w:val="24"/>
        </w:rPr>
        <w:t>万元服务经费的奖励。</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（四）鼓励利用辖区内存量用房成规模地进行改造，转型为研发设计、咨询服务、文化创意、信息服务等新产业并对外招商运营的商务楼宇，完成改造转型并通过验收评定的，给予一次性</w:t>
      </w:r>
      <w:r w:rsidRPr="002A167B">
        <w:rPr>
          <w:rFonts w:ascii="宋体" w:eastAsia="宋体" w:hAnsi="宋体" w:cs="宋体"/>
          <w:color w:val="333333"/>
          <w:kern w:val="0"/>
          <w:sz w:val="24"/>
          <w:szCs w:val="24"/>
        </w:rPr>
        <w:t>20</w:t>
      </w:r>
      <w:r w:rsidRPr="002A167B">
        <w:rPr>
          <w:rFonts w:ascii="方正仿宋简体" w:eastAsia="方正仿宋简体" w:hAnsi="宋体" w:cs="宋体" w:hint="eastAsia"/>
          <w:color w:val="333333"/>
          <w:kern w:val="0"/>
          <w:sz w:val="24"/>
          <w:szCs w:val="24"/>
        </w:rPr>
        <w:t>万元改造投资补助。支持老旧商务楼宇实施技术和信息化改造。支持楼宇业主或物业服务企业利用环保、节能和智能化等技术或设施对现有老旧商务楼宇实施技术信息化改造升级。楼宇改造升级完成后，通过验收并达到国家部颁标准</w:t>
      </w:r>
      <w:r w:rsidRPr="002A167B">
        <w:rPr>
          <w:rFonts w:ascii="宋体" w:eastAsia="宋体" w:hAnsi="宋体" w:cs="宋体"/>
          <w:color w:val="333333"/>
          <w:kern w:val="0"/>
          <w:sz w:val="24"/>
          <w:szCs w:val="24"/>
        </w:rPr>
        <w:t>5A</w:t>
      </w:r>
      <w:r w:rsidRPr="002A167B">
        <w:rPr>
          <w:rFonts w:ascii="方正仿宋简体" w:eastAsia="方正仿宋简体" w:hAnsi="宋体" w:cs="宋体" w:hint="eastAsia"/>
          <w:color w:val="333333"/>
          <w:kern w:val="0"/>
          <w:sz w:val="24"/>
          <w:szCs w:val="24"/>
        </w:rPr>
        <w:t>（办公智能化、楼宇自动化、通讯传输智能化、消防智能化、安保智能化）智能化标准的，对实施改造工程的楼宇业主或物业服务企业给予一次性</w:t>
      </w:r>
      <w:r w:rsidRPr="002A167B">
        <w:rPr>
          <w:rFonts w:ascii="宋体" w:eastAsia="宋体" w:hAnsi="宋体" w:cs="宋体"/>
          <w:color w:val="333333"/>
          <w:kern w:val="0"/>
          <w:sz w:val="24"/>
          <w:szCs w:val="24"/>
        </w:rPr>
        <w:t>20</w:t>
      </w:r>
      <w:r w:rsidRPr="002A167B">
        <w:rPr>
          <w:rFonts w:ascii="方正仿宋简体" w:eastAsia="方正仿宋简体" w:hAnsi="宋体" w:cs="宋体" w:hint="eastAsia"/>
          <w:color w:val="333333"/>
          <w:kern w:val="0"/>
          <w:sz w:val="24"/>
          <w:szCs w:val="24"/>
        </w:rPr>
        <w:t>万元改造投资补助。多产权楼宇实施更新改造，并达到上述改造要求的，对牵头组织以及积极参与配合的单位（个人），分别给予</w:t>
      </w:r>
      <w:r w:rsidRPr="002A167B">
        <w:rPr>
          <w:rFonts w:ascii="宋体" w:eastAsia="宋体" w:hAnsi="宋体" w:cs="宋体"/>
          <w:color w:val="333333"/>
          <w:kern w:val="0"/>
          <w:sz w:val="24"/>
          <w:szCs w:val="24"/>
        </w:rPr>
        <w:t>5</w:t>
      </w:r>
      <w:r w:rsidRPr="002A167B">
        <w:rPr>
          <w:rFonts w:ascii="方正仿宋简体" w:eastAsia="方正仿宋简体" w:hAnsi="宋体" w:cs="宋体" w:hint="eastAsia"/>
          <w:color w:val="333333"/>
          <w:kern w:val="0"/>
          <w:sz w:val="24"/>
          <w:szCs w:val="24"/>
        </w:rPr>
        <w:t>万元奖励。</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（五）专业人才补助。对入驻商务楼宇且年纳税超</w:t>
      </w:r>
      <w:r w:rsidRPr="002A167B">
        <w:rPr>
          <w:rFonts w:ascii="宋体" w:eastAsia="宋体" w:hAnsi="宋体" w:cs="宋体"/>
          <w:color w:val="333333"/>
          <w:kern w:val="0"/>
          <w:sz w:val="24"/>
          <w:szCs w:val="24"/>
        </w:rPr>
        <w:t>200</w:t>
      </w:r>
      <w:r w:rsidRPr="002A167B">
        <w:rPr>
          <w:rFonts w:ascii="方正仿宋简体" w:eastAsia="方正仿宋简体" w:hAnsi="宋体" w:cs="宋体" w:hint="eastAsia"/>
          <w:color w:val="333333"/>
          <w:kern w:val="0"/>
          <w:sz w:val="24"/>
          <w:szCs w:val="24"/>
        </w:rPr>
        <w:t>万元的企业中、高管人员及技术领军人才，自认定当年起（由区委人力工作领导小组审定），按其在市区缴纳的个人所得税区级留成部分，</w:t>
      </w:r>
      <w:r w:rsidRPr="002A167B">
        <w:rPr>
          <w:rFonts w:ascii="宋体" w:eastAsia="宋体" w:hAnsi="宋体" w:cs="宋体"/>
          <w:color w:val="333333"/>
          <w:kern w:val="0"/>
          <w:sz w:val="24"/>
          <w:szCs w:val="24"/>
        </w:rPr>
        <w:t>5</w:t>
      </w:r>
      <w:r w:rsidRPr="002A167B">
        <w:rPr>
          <w:rFonts w:ascii="方正仿宋简体" w:eastAsia="方正仿宋简体" w:hAnsi="宋体" w:cs="宋体" w:hint="eastAsia"/>
          <w:color w:val="333333"/>
          <w:kern w:val="0"/>
          <w:sz w:val="24"/>
          <w:szCs w:val="24"/>
        </w:rPr>
        <w:t>年内每年给</w:t>
      </w:r>
      <w:r w:rsidRPr="002A167B">
        <w:rPr>
          <w:rFonts w:ascii="宋体" w:eastAsia="宋体" w:hAnsi="宋体" w:cs="宋体"/>
          <w:color w:val="333333"/>
          <w:kern w:val="0"/>
          <w:sz w:val="24"/>
          <w:szCs w:val="24"/>
        </w:rPr>
        <w:t>100%</w:t>
      </w:r>
      <w:r w:rsidRPr="002A167B">
        <w:rPr>
          <w:rFonts w:ascii="方正仿宋简体" w:eastAsia="方正仿宋简体" w:hAnsi="宋体" w:cs="宋体" w:hint="eastAsia"/>
          <w:color w:val="333333"/>
          <w:kern w:val="0"/>
          <w:sz w:val="24"/>
          <w:szCs w:val="24"/>
        </w:rPr>
        <w:t>的奖励。</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（六）经认定的商务楼宇，在区内纳税额首次达到</w:t>
      </w:r>
      <w:r w:rsidRPr="002A167B">
        <w:rPr>
          <w:rFonts w:ascii="宋体" w:eastAsia="宋体" w:hAnsi="宋体" w:cs="宋体"/>
          <w:color w:val="333333"/>
          <w:kern w:val="0"/>
          <w:sz w:val="24"/>
          <w:szCs w:val="24"/>
        </w:rPr>
        <w:t xml:space="preserve"> 1000 </w:t>
      </w:r>
      <w:r w:rsidRPr="002A167B">
        <w:rPr>
          <w:rFonts w:ascii="方正仿宋简体" w:eastAsia="方正仿宋简体" w:hAnsi="宋体" w:cs="宋体" w:hint="eastAsia"/>
          <w:color w:val="333333"/>
          <w:kern w:val="0"/>
          <w:sz w:val="24"/>
          <w:szCs w:val="24"/>
        </w:rPr>
        <w:t>万元以上、</w:t>
      </w:r>
      <w:r w:rsidRPr="002A167B">
        <w:rPr>
          <w:rFonts w:ascii="宋体" w:eastAsia="宋体" w:hAnsi="宋体" w:cs="宋体"/>
          <w:color w:val="333333"/>
          <w:kern w:val="0"/>
          <w:sz w:val="24"/>
          <w:szCs w:val="24"/>
        </w:rPr>
        <w:t>2000</w:t>
      </w:r>
      <w:r w:rsidRPr="002A167B">
        <w:rPr>
          <w:rFonts w:ascii="方正仿宋简体" w:eastAsia="方正仿宋简体" w:hAnsi="宋体" w:cs="宋体" w:hint="eastAsia"/>
          <w:color w:val="333333"/>
          <w:kern w:val="0"/>
          <w:sz w:val="24"/>
          <w:szCs w:val="24"/>
        </w:rPr>
        <w:t>万元以上和</w:t>
      </w:r>
      <w:r w:rsidRPr="002A167B">
        <w:rPr>
          <w:rFonts w:ascii="宋体" w:eastAsia="宋体" w:hAnsi="宋体" w:cs="宋体"/>
          <w:color w:val="333333"/>
          <w:kern w:val="0"/>
          <w:sz w:val="24"/>
          <w:szCs w:val="24"/>
        </w:rPr>
        <w:t>3000</w:t>
      </w:r>
      <w:r w:rsidRPr="002A167B">
        <w:rPr>
          <w:rFonts w:ascii="方正仿宋简体" w:eastAsia="方正仿宋简体" w:hAnsi="宋体" w:cs="宋体" w:hint="eastAsia"/>
          <w:color w:val="333333"/>
          <w:kern w:val="0"/>
          <w:sz w:val="24"/>
          <w:szCs w:val="24"/>
        </w:rPr>
        <w:t>万元以上，且楼宇入驻企业对其服务质量满意度较高的，对楼宇业主（或经营管理单位）分别一次性给予</w:t>
      </w:r>
      <w:r w:rsidRPr="002A167B">
        <w:rPr>
          <w:rFonts w:ascii="宋体" w:eastAsia="宋体" w:hAnsi="宋体" w:cs="宋体"/>
          <w:color w:val="333333"/>
          <w:kern w:val="0"/>
          <w:sz w:val="24"/>
          <w:szCs w:val="24"/>
        </w:rPr>
        <w:t>10</w:t>
      </w:r>
      <w:r w:rsidRPr="002A167B">
        <w:rPr>
          <w:rFonts w:ascii="方正仿宋简体" w:eastAsia="方正仿宋简体" w:hAnsi="宋体" w:cs="宋体" w:hint="eastAsia"/>
          <w:color w:val="333333"/>
          <w:kern w:val="0"/>
          <w:sz w:val="24"/>
          <w:szCs w:val="24"/>
        </w:rPr>
        <w:t>万元、</w:t>
      </w:r>
      <w:r w:rsidRPr="002A167B">
        <w:rPr>
          <w:rFonts w:ascii="宋体" w:eastAsia="宋体" w:hAnsi="宋体" w:cs="宋体"/>
          <w:color w:val="333333"/>
          <w:kern w:val="0"/>
          <w:sz w:val="24"/>
          <w:szCs w:val="24"/>
        </w:rPr>
        <w:t>20</w:t>
      </w:r>
      <w:r w:rsidRPr="002A167B">
        <w:rPr>
          <w:rFonts w:ascii="方正仿宋简体" w:eastAsia="方正仿宋简体" w:hAnsi="宋体" w:cs="宋体" w:hint="eastAsia"/>
          <w:color w:val="333333"/>
          <w:kern w:val="0"/>
          <w:sz w:val="24"/>
          <w:szCs w:val="24"/>
        </w:rPr>
        <w:t>万元和</w:t>
      </w:r>
      <w:r w:rsidRPr="002A167B">
        <w:rPr>
          <w:rFonts w:ascii="宋体" w:eastAsia="宋体" w:hAnsi="宋体" w:cs="宋体"/>
          <w:color w:val="333333"/>
          <w:kern w:val="0"/>
          <w:sz w:val="24"/>
          <w:szCs w:val="24"/>
        </w:rPr>
        <w:t>30</w:t>
      </w:r>
      <w:r w:rsidRPr="002A167B">
        <w:rPr>
          <w:rFonts w:ascii="方正仿宋简体" w:eastAsia="方正仿宋简体" w:hAnsi="宋体" w:cs="宋体" w:hint="eastAsia"/>
          <w:color w:val="333333"/>
          <w:kern w:val="0"/>
          <w:sz w:val="24"/>
          <w:szCs w:val="24"/>
        </w:rPr>
        <w:t>万元的奖励；纳税额</w:t>
      </w:r>
      <w:r w:rsidRPr="002A167B">
        <w:rPr>
          <w:rFonts w:ascii="宋体" w:eastAsia="宋体" w:hAnsi="宋体" w:cs="宋体"/>
          <w:color w:val="333333"/>
          <w:kern w:val="0"/>
          <w:sz w:val="24"/>
          <w:szCs w:val="24"/>
        </w:rPr>
        <w:t>5000</w:t>
      </w:r>
      <w:r w:rsidRPr="002A167B">
        <w:rPr>
          <w:rFonts w:ascii="方正仿宋简体" w:eastAsia="方正仿宋简体" w:hAnsi="宋体" w:cs="宋体" w:hint="eastAsia"/>
          <w:color w:val="333333"/>
          <w:kern w:val="0"/>
          <w:sz w:val="24"/>
          <w:szCs w:val="24"/>
        </w:rPr>
        <w:t>万元以上一次性给予</w:t>
      </w:r>
      <w:r w:rsidRPr="002A167B">
        <w:rPr>
          <w:rFonts w:ascii="宋体" w:eastAsia="宋体" w:hAnsi="宋体" w:cs="宋体"/>
          <w:color w:val="333333"/>
          <w:kern w:val="0"/>
          <w:sz w:val="24"/>
          <w:szCs w:val="24"/>
        </w:rPr>
        <w:t>100</w:t>
      </w:r>
      <w:r w:rsidRPr="002A167B">
        <w:rPr>
          <w:rFonts w:ascii="方正仿宋简体" w:eastAsia="方正仿宋简体" w:hAnsi="宋体" w:cs="宋体" w:hint="eastAsia"/>
          <w:color w:val="333333"/>
          <w:kern w:val="0"/>
          <w:sz w:val="24"/>
          <w:szCs w:val="24"/>
        </w:rPr>
        <w:t>万元的奖励。楼宇业主（或经营管理单位）获得的财政奖励资金，需拿出</w:t>
      </w:r>
      <w:r w:rsidRPr="002A167B">
        <w:rPr>
          <w:rFonts w:ascii="宋体" w:eastAsia="宋体" w:hAnsi="宋体" w:cs="宋体"/>
          <w:color w:val="333333"/>
          <w:kern w:val="0"/>
          <w:sz w:val="24"/>
          <w:szCs w:val="24"/>
        </w:rPr>
        <w:t>50%</w:t>
      </w:r>
      <w:r w:rsidRPr="002A167B">
        <w:rPr>
          <w:rFonts w:ascii="方正仿宋简体" w:eastAsia="方正仿宋简体" w:hAnsi="宋体" w:cs="宋体" w:hint="eastAsia"/>
          <w:color w:val="333333"/>
          <w:kern w:val="0"/>
          <w:sz w:val="24"/>
          <w:szCs w:val="24"/>
        </w:rPr>
        <w:t>用于改善楼宇设施条件、美化绿化楼宇环境、招商引资费用、奖励招商有功人员等方面。</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lastRenderedPageBreak/>
        <w:t>（七）完善商务楼宇配套设施补助。对业主单位或物业服务企业投资新建职员餐厅的，经事先备案，可按实际投资额</w:t>
      </w:r>
      <w:r w:rsidRPr="002A167B">
        <w:rPr>
          <w:rFonts w:ascii="宋体" w:eastAsia="宋体" w:hAnsi="宋体" w:cs="宋体"/>
          <w:color w:val="333333"/>
          <w:kern w:val="0"/>
          <w:sz w:val="24"/>
          <w:szCs w:val="24"/>
        </w:rPr>
        <w:t>20%</w:t>
      </w:r>
      <w:r w:rsidRPr="002A167B">
        <w:rPr>
          <w:rFonts w:ascii="方正仿宋简体" w:eastAsia="方正仿宋简体" w:hAnsi="宋体" w:cs="宋体" w:hint="eastAsia"/>
          <w:color w:val="333333"/>
          <w:kern w:val="0"/>
          <w:sz w:val="24"/>
          <w:szCs w:val="24"/>
        </w:rPr>
        <w:t>给予最高不超过</w:t>
      </w:r>
      <w:r w:rsidRPr="002A167B">
        <w:rPr>
          <w:rFonts w:ascii="宋体" w:eastAsia="宋体" w:hAnsi="宋体" w:cs="宋体"/>
          <w:color w:val="333333"/>
          <w:kern w:val="0"/>
          <w:sz w:val="24"/>
          <w:szCs w:val="24"/>
        </w:rPr>
        <w:t>5</w:t>
      </w:r>
      <w:r w:rsidRPr="002A167B">
        <w:rPr>
          <w:rFonts w:ascii="方正仿宋简体" w:eastAsia="方正仿宋简体" w:hAnsi="宋体" w:cs="宋体" w:hint="eastAsia"/>
          <w:color w:val="333333"/>
          <w:kern w:val="0"/>
          <w:sz w:val="24"/>
          <w:szCs w:val="24"/>
        </w:rPr>
        <w:t>万元的补助。</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（八）对在我区辖区范围内举办的超过</w:t>
      </w:r>
      <w:r w:rsidRPr="002A167B">
        <w:rPr>
          <w:rFonts w:ascii="宋体" w:eastAsia="宋体" w:hAnsi="宋体" w:cs="宋体"/>
          <w:color w:val="333333"/>
          <w:kern w:val="0"/>
          <w:sz w:val="24"/>
          <w:szCs w:val="24"/>
        </w:rPr>
        <w:t>200</w:t>
      </w:r>
      <w:r w:rsidRPr="002A167B">
        <w:rPr>
          <w:rFonts w:ascii="方正仿宋简体" w:eastAsia="方正仿宋简体" w:hAnsi="宋体" w:cs="宋体" w:hint="eastAsia"/>
          <w:color w:val="333333"/>
          <w:kern w:val="0"/>
          <w:sz w:val="24"/>
          <w:szCs w:val="24"/>
        </w:rPr>
        <w:t>个标准展位（</w:t>
      </w:r>
      <w:r w:rsidRPr="002A167B">
        <w:rPr>
          <w:rFonts w:ascii="宋体" w:eastAsia="宋体" w:hAnsi="宋体" w:cs="宋体"/>
          <w:color w:val="333333"/>
          <w:kern w:val="0"/>
          <w:sz w:val="24"/>
          <w:szCs w:val="24"/>
        </w:rPr>
        <w:t>3m*3m=9</w:t>
      </w:r>
      <w:r w:rsidRPr="002A167B">
        <w:rPr>
          <w:rFonts w:ascii="宋体" w:eastAsia="宋体" w:hAnsi="宋体" w:cs="宋体" w:hint="eastAsia"/>
          <w:color w:val="333333"/>
          <w:kern w:val="0"/>
          <w:sz w:val="24"/>
          <w:szCs w:val="24"/>
        </w:rPr>
        <w:t>㎡</w:t>
      </w:r>
      <w:r w:rsidRPr="002A167B">
        <w:rPr>
          <w:rFonts w:ascii="方正仿宋简体" w:eastAsia="方正仿宋简体" w:hAnsi="宋体" w:cs="宋体" w:hint="eastAsia"/>
          <w:color w:val="333333"/>
          <w:kern w:val="0"/>
          <w:sz w:val="24"/>
          <w:szCs w:val="24"/>
        </w:rPr>
        <w:t>）或展览面积超过</w:t>
      </w:r>
      <w:r w:rsidRPr="002A167B">
        <w:rPr>
          <w:rFonts w:ascii="宋体" w:eastAsia="宋体" w:hAnsi="宋体" w:cs="宋体"/>
          <w:color w:val="333333"/>
          <w:kern w:val="0"/>
          <w:sz w:val="24"/>
          <w:szCs w:val="24"/>
        </w:rPr>
        <w:t>2000</w:t>
      </w:r>
      <w:r w:rsidRPr="002A167B">
        <w:rPr>
          <w:rFonts w:ascii="方正仿宋简体" w:eastAsia="方正仿宋简体" w:hAnsi="宋体" w:cs="宋体" w:hint="eastAsia"/>
          <w:color w:val="333333"/>
          <w:kern w:val="0"/>
          <w:sz w:val="24"/>
          <w:szCs w:val="24"/>
        </w:rPr>
        <w:t>平方米的全国性、区域性展会，分别给予承办方</w:t>
      </w:r>
      <w:r w:rsidRPr="002A167B">
        <w:rPr>
          <w:rFonts w:ascii="宋体" w:eastAsia="宋体" w:hAnsi="宋体" w:cs="宋体"/>
          <w:color w:val="333333"/>
          <w:kern w:val="0"/>
          <w:sz w:val="24"/>
          <w:szCs w:val="24"/>
        </w:rPr>
        <w:t>10</w:t>
      </w:r>
      <w:r w:rsidRPr="002A167B">
        <w:rPr>
          <w:rFonts w:ascii="方正仿宋简体" w:eastAsia="方正仿宋简体" w:hAnsi="宋体" w:cs="宋体" w:hint="eastAsia"/>
          <w:color w:val="333333"/>
          <w:kern w:val="0"/>
          <w:sz w:val="24"/>
          <w:szCs w:val="24"/>
        </w:rPr>
        <w:t>万元、</w:t>
      </w:r>
      <w:r w:rsidRPr="002A167B">
        <w:rPr>
          <w:rFonts w:ascii="宋体" w:eastAsia="宋体" w:hAnsi="宋体" w:cs="宋体"/>
          <w:color w:val="333333"/>
          <w:kern w:val="0"/>
          <w:sz w:val="24"/>
          <w:szCs w:val="24"/>
        </w:rPr>
        <w:t>5</w:t>
      </w:r>
      <w:r w:rsidRPr="002A167B">
        <w:rPr>
          <w:rFonts w:ascii="方正仿宋简体" w:eastAsia="方正仿宋简体" w:hAnsi="宋体" w:cs="宋体" w:hint="eastAsia"/>
          <w:color w:val="333333"/>
          <w:kern w:val="0"/>
          <w:sz w:val="24"/>
          <w:szCs w:val="24"/>
        </w:rPr>
        <w:t>万元一次性补助。</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九）区政府相关部门加强政银企资金方面的沟通、协调和联系，积极为入驻企业融资做好协调和服务工作。对申请在主板、创业板和新三板上市的企业，积极帮助指导争取省、市上市企业扶持资金，对成功挂牌上市的企业管理团队，分别给予</w:t>
      </w:r>
      <w:r w:rsidRPr="002A167B">
        <w:rPr>
          <w:rFonts w:ascii="宋体" w:eastAsia="宋体" w:hAnsi="宋体" w:cs="宋体"/>
          <w:color w:val="333333"/>
          <w:kern w:val="0"/>
          <w:sz w:val="24"/>
          <w:szCs w:val="24"/>
        </w:rPr>
        <w:t>100</w:t>
      </w:r>
      <w:r w:rsidRPr="002A167B">
        <w:rPr>
          <w:rFonts w:ascii="方正仿宋简体" w:eastAsia="方正仿宋简体" w:hAnsi="宋体" w:cs="宋体" w:hint="eastAsia"/>
          <w:color w:val="333333"/>
          <w:kern w:val="0"/>
          <w:sz w:val="24"/>
          <w:szCs w:val="24"/>
        </w:rPr>
        <w:t>万、</w:t>
      </w:r>
      <w:r w:rsidRPr="002A167B">
        <w:rPr>
          <w:rFonts w:ascii="宋体" w:eastAsia="宋体" w:hAnsi="宋体" w:cs="宋体"/>
          <w:color w:val="333333"/>
          <w:kern w:val="0"/>
          <w:sz w:val="24"/>
          <w:szCs w:val="24"/>
        </w:rPr>
        <w:t>50</w:t>
      </w:r>
      <w:r w:rsidRPr="002A167B">
        <w:rPr>
          <w:rFonts w:ascii="方正仿宋简体" w:eastAsia="方正仿宋简体" w:hAnsi="宋体" w:cs="宋体" w:hint="eastAsia"/>
          <w:color w:val="333333"/>
          <w:kern w:val="0"/>
          <w:sz w:val="24"/>
          <w:szCs w:val="24"/>
        </w:rPr>
        <w:t>万、</w:t>
      </w:r>
      <w:r w:rsidRPr="002A167B">
        <w:rPr>
          <w:rFonts w:ascii="宋体" w:eastAsia="宋体" w:hAnsi="宋体" w:cs="宋体"/>
          <w:color w:val="333333"/>
          <w:kern w:val="0"/>
          <w:sz w:val="24"/>
          <w:szCs w:val="24"/>
        </w:rPr>
        <w:t>30</w:t>
      </w:r>
      <w:r w:rsidRPr="002A167B">
        <w:rPr>
          <w:rFonts w:ascii="方正仿宋简体" w:eastAsia="方正仿宋简体" w:hAnsi="宋体" w:cs="宋体" w:hint="eastAsia"/>
          <w:color w:val="333333"/>
          <w:kern w:val="0"/>
          <w:sz w:val="24"/>
          <w:szCs w:val="24"/>
        </w:rPr>
        <w:t>万的一次性奖励。</w:t>
      </w:r>
      <w:r w:rsidRPr="002A167B">
        <w:rPr>
          <w:rFonts w:ascii="宋体" w:eastAsia="宋体" w:hAnsi="宋体" w:cs="宋体"/>
          <w:color w:val="333333"/>
          <w:kern w:val="0"/>
          <w:sz w:val="24"/>
          <w:szCs w:val="24"/>
        </w:rPr>
        <w:t> </w:t>
      </w:r>
      <w:r w:rsidRPr="002A167B">
        <w:rPr>
          <w:rFonts w:ascii="方正仿宋简体" w:eastAsia="方正仿宋简体" w:hAnsi="宋体" w:cs="宋体" w:hint="eastAsia"/>
          <w:color w:val="333333"/>
          <w:kern w:val="0"/>
          <w:sz w:val="24"/>
          <w:szCs w:val="24"/>
        </w:rPr>
        <w:t>鼓励各类金融机构通过品牌评估、信用等级评定、金融产品创新和金融服务创新等多种形式，为商务楼宇入驻企业提供融资便利。</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（十）对符合本办法所定条款的入驻企业，给予采取评分卡评分的企业“助保贷”额度最高不超过</w:t>
      </w:r>
      <w:r w:rsidRPr="002A167B">
        <w:rPr>
          <w:rFonts w:ascii="宋体" w:eastAsia="宋体" w:hAnsi="宋体" w:cs="宋体"/>
          <w:color w:val="333333"/>
          <w:kern w:val="0"/>
          <w:sz w:val="24"/>
          <w:szCs w:val="24"/>
        </w:rPr>
        <w:t>500</w:t>
      </w:r>
      <w:r w:rsidRPr="002A167B">
        <w:rPr>
          <w:rFonts w:ascii="方正仿宋简体" w:eastAsia="方正仿宋简体" w:hAnsi="宋体" w:cs="宋体" w:hint="eastAsia"/>
          <w:color w:val="333333"/>
          <w:kern w:val="0"/>
          <w:sz w:val="24"/>
          <w:szCs w:val="24"/>
        </w:rPr>
        <w:t>万元（含）；采取小企业客户信用评级办法进行评级的企业贷款额度最高不超过</w:t>
      </w:r>
      <w:r w:rsidRPr="002A167B">
        <w:rPr>
          <w:rFonts w:ascii="宋体" w:eastAsia="宋体" w:hAnsi="宋体" w:cs="宋体"/>
          <w:color w:val="333333"/>
          <w:kern w:val="0"/>
          <w:sz w:val="24"/>
          <w:szCs w:val="24"/>
        </w:rPr>
        <w:t>2000</w:t>
      </w:r>
      <w:r w:rsidRPr="002A167B">
        <w:rPr>
          <w:rFonts w:ascii="方正仿宋简体" w:eastAsia="方正仿宋简体" w:hAnsi="宋体" w:cs="宋体" w:hint="eastAsia"/>
          <w:color w:val="333333"/>
          <w:kern w:val="0"/>
          <w:sz w:val="24"/>
          <w:szCs w:val="24"/>
        </w:rPr>
        <w:t>万元（含）。同时对入驻的科技型及高新技术企业，在科技项目立项、专利资助、高新技术企业认定等方面给予优先支持。</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黑体" w:eastAsia="黑体" w:hAnsi="黑体" w:cs="宋体" w:hint="eastAsia"/>
          <w:color w:val="333333"/>
          <w:kern w:val="0"/>
          <w:sz w:val="24"/>
          <w:szCs w:val="24"/>
        </w:rPr>
        <w:t>三、保障措施</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一）加强领导。成立黄石港区楼宇经济发展工作领导小组，由区委、区政府主要领导任组长，分管领导任副组长，各相关部门主要负责人为成员。领导小组全面统筹、协调楼宇经济发展过程中碰到的困难和问题。领导小组下</w:t>
      </w:r>
      <w:r w:rsidRPr="002A167B">
        <w:rPr>
          <w:rFonts w:ascii="方正仿宋简体" w:eastAsia="方正仿宋简体" w:hAnsi="宋体" w:cs="宋体" w:hint="eastAsia"/>
          <w:color w:val="333333"/>
          <w:kern w:val="0"/>
          <w:sz w:val="24"/>
          <w:szCs w:val="24"/>
        </w:rPr>
        <w:lastRenderedPageBreak/>
        <w:t>设办公室（设在区经信商务局），由区经信商务局局长兼任办公室主任，办公室负责商务楼宇的资格认定（具体考核认定办法另行制定）以及每年开展优秀楼宇企业评比活动，经评比被认定为“优秀楼宇企业”的单位，一次性给予不少于</w:t>
      </w:r>
      <w:r w:rsidRPr="002A167B">
        <w:rPr>
          <w:rFonts w:ascii="宋体" w:eastAsia="宋体" w:hAnsi="宋体" w:cs="宋体"/>
          <w:color w:val="333333"/>
          <w:kern w:val="0"/>
          <w:sz w:val="24"/>
          <w:szCs w:val="24"/>
        </w:rPr>
        <w:t>10</w:t>
      </w:r>
      <w:r w:rsidRPr="002A167B">
        <w:rPr>
          <w:rFonts w:ascii="方正仿宋简体" w:eastAsia="方正仿宋简体" w:hAnsi="宋体" w:cs="宋体" w:hint="eastAsia"/>
          <w:color w:val="333333"/>
          <w:kern w:val="0"/>
          <w:sz w:val="24"/>
          <w:szCs w:val="24"/>
        </w:rPr>
        <w:t>万元奖励。每栋商务楼宇所在街道的主要负责人作为商务楼宇的“专职保姆”，全力支持和服务楼宇和入驻企业发展。</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二）对楼宇经济项目在项目立项审批、土地、规划等方面提供优先支持。加强商务楼宇周边道路改造，重视停车设施建设，解决商务区内停车难问题。加强公共服务，有效解决城市交通、社会治安、城市管理等问题，营造舒适、便捷、安全的商务办公环境。为企业主要负责人、技术领军人才（区人才办认定）提供优质教育资源和就医绿色通道。</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（三）对于入驻我区商务楼宇的世界</w:t>
      </w:r>
      <w:r w:rsidRPr="002A167B">
        <w:rPr>
          <w:rFonts w:ascii="宋体" w:eastAsia="宋体" w:hAnsi="宋体" w:cs="宋体"/>
          <w:color w:val="333333"/>
          <w:kern w:val="0"/>
          <w:sz w:val="24"/>
          <w:szCs w:val="24"/>
        </w:rPr>
        <w:t>500</w:t>
      </w:r>
      <w:r w:rsidRPr="002A167B">
        <w:rPr>
          <w:rFonts w:ascii="方正仿宋简体" w:eastAsia="方正仿宋简体" w:hAnsi="宋体" w:cs="宋体" w:hint="eastAsia"/>
          <w:color w:val="333333"/>
          <w:kern w:val="0"/>
          <w:sz w:val="24"/>
          <w:szCs w:val="24"/>
        </w:rPr>
        <w:t>强或中国</w:t>
      </w:r>
      <w:r w:rsidRPr="002A167B">
        <w:rPr>
          <w:rFonts w:ascii="宋体" w:eastAsia="宋体" w:hAnsi="宋体" w:cs="宋体"/>
          <w:color w:val="333333"/>
          <w:kern w:val="0"/>
          <w:sz w:val="24"/>
          <w:szCs w:val="24"/>
        </w:rPr>
        <w:t>500</w:t>
      </w:r>
      <w:r w:rsidRPr="002A167B">
        <w:rPr>
          <w:rFonts w:ascii="方正仿宋简体" w:eastAsia="方正仿宋简体" w:hAnsi="宋体" w:cs="宋体" w:hint="eastAsia"/>
          <w:color w:val="333333"/>
          <w:kern w:val="0"/>
          <w:sz w:val="24"/>
          <w:szCs w:val="24"/>
        </w:rPr>
        <w:t>强区域中心总部、高新技术企业，区委、区政府将采取“一事一议”的方法，给予“一企一策”。</w:t>
      </w:r>
    </w:p>
    <w:p w:rsidR="002A167B" w:rsidRPr="002A167B" w:rsidRDefault="002A167B" w:rsidP="002A167B">
      <w:pPr>
        <w:widowControl/>
        <w:spacing w:before="100" w:beforeAutospacing="1" w:after="100" w:afterAutospacing="1" w:line="579" w:lineRule="atLeast"/>
        <w:ind w:firstLine="720"/>
        <w:jc w:val="left"/>
        <w:rPr>
          <w:rFonts w:ascii="宋体" w:eastAsia="宋体" w:hAnsi="宋体" w:cs="宋体"/>
          <w:color w:val="333333"/>
          <w:kern w:val="0"/>
          <w:sz w:val="24"/>
          <w:szCs w:val="24"/>
        </w:rPr>
      </w:pPr>
      <w:r w:rsidRPr="002A167B">
        <w:rPr>
          <w:rFonts w:ascii="方正仿宋简体" w:eastAsia="方正仿宋简体" w:hAnsi="宋体" w:cs="宋体" w:hint="eastAsia"/>
          <w:color w:val="333333"/>
          <w:kern w:val="0"/>
          <w:sz w:val="24"/>
          <w:szCs w:val="24"/>
        </w:rPr>
        <w:t>本办法由黄石港区人民政府办公室负责解释。</w:t>
      </w:r>
    </w:p>
    <w:p w:rsidR="001846FF" w:rsidRDefault="002A167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9A"/>
    <w:rsid w:val="002A059A"/>
    <w:rsid w:val="002A167B"/>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D724E-5DAD-4813-9F08-52C70059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A167B"/>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A167B"/>
    <w:rPr>
      <w:rFonts w:ascii="宋体" w:eastAsia="宋体" w:hAnsi="宋体" w:cs="宋体"/>
      <w:kern w:val="0"/>
      <w:sz w:val="27"/>
      <w:szCs w:val="27"/>
    </w:rPr>
  </w:style>
  <w:style w:type="paragraph" w:customStyle="1" w:styleId="info2">
    <w:name w:val="info2"/>
    <w:basedOn w:val="a"/>
    <w:rsid w:val="002A167B"/>
    <w:pPr>
      <w:widowControl/>
      <w:pBdr>
        <w:bottom w:val="single" w:sz="6" w:space="15" w:color="CDCDCD"/>
      </w:pBdr>
      <w:spacing w:before="100" w:beforeAutospacing="1" w:after="100" w:afterAutospacing="1"/>
      <w:jc w:val="center"/>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1734">
      <w:bodyDiv w:val="1"/>
      <w:marLeft w:val="0"/>
      <w:marRight w:val="0"/>
      <w:marTop w:val="0"/>
      <w:marBottom w:val="0"/>
      <w:divBdr>
        <w:top w:val="none" w:sz="0" w:space="0" w:color="auto"/>
        <w:left w:val="none" w:sz="0" w:space="0" w:color="auto"/>
        <w:bottom w:val="none" w:sz="0" w:space="0" w:color="auto"/>
        <w:right w:val="none" w:sz="0" w:space="0" w:color="auto"/>
      </w:divBdr>
      <w:divsChild>
        <w:div w:id="2071539205">
          <w:marLeft w:val="0"/>
          <w:marRight w:val="0"/>
          <w:marTop w:val="0"/>
          <w:marBottom w:val="0"/>
          <w:divBdr>
            <w:top w:val="none" w:sz="0" w:space="0" w:color="auto"/>
            <w:left w:val="none" w:sz="0" w:space="0" w:color="auto"/>
            <w:bottom w:val="single" w:sz="12" w:space="0" w:color="1C92FF"/>
            <w:right w:val="none" w:sz="0" w:space="0" w:color="auto"/>
          </w:divBdr>
          <w:divsChild>
            <w:div w:id="2057200193">
              <w:marLeft w:val="0"/>
              <w:marRight w:val="0"/>
              <w:marTop w:val="0"/>
              <w:marBottom w:val="0"/>
              <w:divBdr>
                <w:top w:val="none" w:sz="0" w:space="0" w:color="auto"/>
                <w:left w:val="none" w:sz="0" w:space="0" w:color="auto"/>
                <w:bottom w:val="none" w:sz="0" w:space="0" w:color="auto"/>
                <w:right w:val="none" w:sz="0" w:space="0" w:color="auto"/>
              </w:divBdr>
              <w:divsChild>
                <w:div w:id="1257785873">
                  <w:marLeft w:val="0"/>
                  <w:marRight w:val="0"/>
                  <w:marTop w:val="0"/>
                  <w:marBottom w:val="0"/>
                  <w:divBdr>
                    <w:top w:val="none" w:sz="0" w:space="0" w:color="auto"/>
                    <w:left w:val="none" w:sz="0" w:space="0" w:color="auto"/>
                    <w:bottom w:val="none" w:sz="0" w:space="0" w:color="auto"/>
                    <w:right w:val="none" w:sz="0" w:space="0" w:color="auto"/>
                  </w:divBdr>
                  <w:divsChild>
                    <w:div w:id="9382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2018-05-24T08:39:00Z</dcterms:created>
  <dcterms:modified xsi:type="dcterms:W3CDTF">2018-05-24T08:39:00Z</dcterms:modified>
</cp:coreProperties>
</file>