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Borders>
          <w:top w:val="single" w:sz="6" w:space="0" w:color="D4AEA6"/>
          <w:left w:val="single" w:sz="6" w:space="0" w:color="D4AEA6"/>
          <w:bottom w:val="single" w:sz="6" w:space="0" w:color="D4AEA6"/>
          <w:right w:val="single" w:sz="6" w:space="0" w:color="D4AEA6"/>
        </w:tblBorders>
        <w:shd w:val="clear" w:color="auto" w:fill="FFFFFF"/>
        <w:tblCellMar>
          <w:left w:w="0" w:type="dxa"/>
          <w:right w:w="0" w:type="dxa"/>
        </w:tblCellMar>
        <w:tblLook w:val="04A0" w:firstRow="1" w:lastRow="0" w:firstColumn="1" w:lastColumn="0" w:noHBand="0" w:noVBand="1"/>
      </w:tblPr>
      <w:tblGrid>
        <w:gridCol w:w="1025"/>
        <w:gridCol w:w="2531"/>
        <w:gridCol w:w="1104"/>
        <w:gridCol w:w="1066"/>
        <w:gridCol w:w="1025"/>
        <w:gridCol w:w="1547"/>
      </w:tblGrid>
      <w:tr w:rsidR="00A179AA" w:rsidRPr="00A179AA" w14:paraId="17CCFC7D" w14:textId="77777777" w:rsidTr="00A179AA">
        <w:trPr>
          <w:trHeight w:val="600"/>
          <w:tblCellSpacing w:w="0" w:type="dxa"/>
          <w:jc w:val="center"/>
        </w:trPr>
        <w:tc>
          <w:tcPr>
            <w:tcW w:w="1680" w:type="dxa"/>
            <w:tcBorders>
              <w:top w:val="nil"/>
              <w:left w:val="nil"/>
              <w:bottom w:val="single" w:sz="6" w:space="0" w:color="D4AEA6"/>
              <w:right w:val="single" w:sz="6" w:space="0" w:color="D4AEA6"/>
            </w:tcBorders>
            <w:shd w:val="clear" w:color="auto" w:fill="F7C4BA"/>
            <w:tcMar>
              <w:top w:w="0" w:type="dxa"/>
              <w:left w:w="300" w:type="dxa"/>
              <w:bottom w:w="0" w:type="dxa"/>
              <w:right w:w="0" w:type="dxa"/>
            </w:tcMar>
            <w:vAlign w:val="center"/>
            <w:hideMark/>
          </w:tcPr>
          <w:p w14:paraId="3101F02C" w14:textId="77777777" w:rsidR="00A179AA" w:rsidRPr="00A179AA" w:rsidRDefault="00A179AA" w:rsidP="00A179AA">
            <w:pPr>
              <w:widowControl/>
              <w:spacing w:line="600" w:lineRule="atLeast"/>
              <w:jc w:val="left"/>
              <w:rPr>
                <w:rFonts w:ascii="微软雅黑" w:eastAsia="微软雅黑" w:hAnsi="微软雅黑" w:cs="宋体"/>
                <w:b/>
                <w:bCs/>
                <w:color w:val="000000"/>
                <w:kern w:val="0"/>
                <w:sz w:val="24"/>
                <w:szCs w:val="24"/>
              </w:rPr>
            </w:pPr>
            <w:r w:rsidRPr="00A179AA">
              <w:rPr>
                <w:rFonts w:ascii="微软雅黑" w:eastAsia="微软雅黑" w:hAnsi="微软雅黑" w:cs="宋体" w:hint="eastAsia"/>
                <w:b/>
                <w:bCs/>
                <w:color w:val="000000"/>
                <w:kern w:val="0"/>
                <w:sz w:val="24"/>
                <w:szCs w:val="24"/>
              </w:rPr>
              <w:t>索 引 号：</w:t>
            </w:r>
          </w:p>
        </w:tc>
        <w:tc>
          <w:tcPr>
            <w:tcW w:w="3075" w:type="dxa"/>
            <w:tcBorders>
              <w:top w:val="nil"/>
              <w:left w:val="nil"/>
              <w:bottom w:val="single" w:sz="6" w:space="0" w:color="D4AEA6"/>
              <w:right w:val="single" w:sz="6" w:space="0" w:color="D4AEA6"/>
            </w:tcBorders>
            <w:shd w:val="clear" w:color="auto" w:fill="FFFFFF"/>
            <w:tcMar>
              <w:top w:w="0" w:type="dxa"/>
              <w:left w:w="300" w:type="dxa"/>
              <w:bottom w:w="0" w:type="dxa"/>
              <w:right w:w="0" w:type="dxa"/>
            </w:tcMar>
            <w:vAlign w:val="center"/>
            <w:hideMark/>
          </w:tcPr>
          <w:p w14:paraId="32679B4E" w14:textId="77777777" w:rsidR="00A179AA" w:rsidRPr="00A179AA" w:rsidRDefault="00A179AA" w:rsidP="00A179AA">
            <w:pPr>
              <w:widowControl/>
              <w:spacing w:line="600" w:lineRule="atLeast"/>
              <w:jc w:val="left"/>
              <w:rPr>
                <w:rFonts w:ascii="微软雅黑" w:eastAsia="微软雅黑" w:hAnsi="微软雅黑" w:cs="宋体" w:hint="eastAsia"/>
                <w:color w:val="000000"/>
                <w:kern w:val="0"/>
                <w:sz w:val="24"/>
                <w:szCs w:val="24"/>
              </w:rPr>
            </w:pPr>
            <w:r w:rsidRPr="00A179AA">
              <w:rPr>
                <w:rFonts w:ascii="微软雅黑" w:eastAsia="微软雅黑" w:hAnsi="微软雅黑" w:cs="宋体" w:hint="eastAsia"/>
                <w:color w:val="000000"/>
                <w:kern w:val="0"/>
                <w:sz w:val="24"/>
                <w:szCs w:val="24"/>
              </w:rPr>
              <w:t>009400166/2017-00438</w:t>
            </w:r>
          </w:p>
        </w:tc>
        <w:tc>
          <w:tcPr>
            <w:tcW w:w="1680" w:type="dxa"/>
            <w:tcBorders>
              <w:top w:val="nil"/>
              <w:left w:val="nil"/>
              <w:bottom w:val="single" w:sz="6" w:space="0" w:color="D4AEA6"/>
              <w:right w:val="single" w:sz="6" w:space="0" w:color="D4AEA6"/>
            </w:tcBorders>
            <w:shd w:val="clear" w:color="auto" w:fill="F7C4BA"/>
            <w:tcMar>
              <w:top w:w="0" w:type="dxa"/>
              <w:left w:w="300" w:type="dxa"/>
              <w:bottom w:w="0" w:type="dxa"/>
              <w:right w:w="0" w:type="dxa"/>
            </w:tcMar>
            <w:vAlign w:val="center"/>
            <w:hideMark/>
          </w:tcPr>
          <w:p w14:paraId="4BBDD893" w14:textId="77777777" w:rsidR="00A179AA" w:rsidRPr="00A179AA" w:rsidRDefault="00A179AA" w:rsidP="00A179AA">
            <w:pPr>
              <w:widowControl/>
              <w:spacing w:line="600" w:lineRule="atLeast"/>
              <w:jc w:val="left"/>
              <w:rPr>
                <w:rFonts w:ascii="微软雅黑" w:eastAsia="微软雅黑" w:hAnsi="微软雅黑" w:cs="宋体" w:hint="eastAsia"/>
                <w:b/>
                <w:bCs/>
                <w:color w:val="000000"/>
                <w:kern w:val="0"/>
                <w:sz w:val="24"/>
                <w:szCs w:val="24"/>
              </w:rPr>
            </w:pPr>
            <w:r w:rsidRPr="00A179AA">
              <w:rPr>
                <w:rFonts w:ascii="微软雅黑" w:eastAsia="微软雅黑" w:hAnsi="微软雅黑" w:cs="宋体" w:hint="eastAsia"/>
                <w:b/>
                <w:bCs/>
                <w:color w:val="000000"/>
                <w:kern w:val="0"/>
                <w:sz w:val="24"/>
                <w:szCs w:val="24"/>
              </w:rPr>
              <w:t>主题分类 ：</w:t>
            </w:r>
          </w:p>
        </w:tc>
        <w:tc>
          <w:tcPr>
            <w:tcW w:w="2580" w:type="dxa"/>
            <w:tcBorders>
              <w:top w:val="single" w:sz="6" w:space="0" w:color="CCCCCC"/>
              <w:left w:val="single" w:sz="6" w:space="0" w:color="CCCCCC"/>
              <w:bottom w:val="single" w:sz="6" w:space="0" w:color="D4AEA6"/>
              <w:right w:val="single" w:sz="6" w:space="0" w:color="CCCCCC"/>
            </w:tcBorders>
            <w:shd w:val="clear" w:color="auto" w:fill="FFFFFF"/>
            <w:tcMar>
              <w:top w:w="0" w:type="dxa"/>
              <w:left w:w="300" w:type="dxa"/>
              <w:bottom w:w="0" w:type="dxa"/>
              <w:right w:w="0" w:type="dxa"/>
            </w:tcMar>
            <w:vAlign w:val="center"/>
            <w:hideMark/>
          </w:tcPr>
          <w:p w14:paraId="4D2A660E" w14:textId="77777777" w:rsidR="00A179AA" w:rsidRPr="00A179AA" w:rsidRDefault="00A179AA" w:rsidP="00A179AA">
            <w:pPr>
              <w:widowControl/>
              <w:spacing w:line="600" w:lineRule="atLeast"/>
              <w:jc w:val="left"/>
              <w:rPr>
                <w:rFonts w:ascii="微软雅黑" w:eastAsia="微软雅黑" w:hAnsi="微软雅黑" w:cs="宋体" w:hint="eastAsia"/>
                <w:b/>
                <w:bCs/>
                <w:color w:val="000000"/>
                <w:kern w:val="0"/>
                <w:sz w:val="24"/>
                <w:szCs w:val="24"/>
              </w:rPr>
            </w:pPr>
          </w:p>
        </w:tc>
        <w:tc>
          <w:tcPr>
            <w:tcW w:w="1680" w:type="dxa"/>
            <w:tcBorders>
              <w:top w:val="nil"/>
              <w:left w:val="single" w:sz="6" w:space="0" w:color="D4AEA6"/>
              <w:bottom w:val="single" w:sz="6" w:space="0" w:color="D4AEA6"/>
              <w:right w:val="single" w:sz="6" w:space="0" w:color="D4AEA6"/>
            </w:tcBorders>
            <w:shd w:val="clear" w:color="auto" w:fill="F7C4BA"/>
            <w:tcMar>
              <w:top w:w="0" w:type="dxa"/>
              <w:left w:w="300" w:type="dxa"/>
              <w:bottom w:w="0" w:type="dxa"/>
              <w:right w:w="0" w:type="dxa"/>
            </w:tcMar>
            <w:vAlign w:val="center"/>
            <w:hideMark/>
          </w:tcPr>
          <w:p w14:paraId="6E99FB14" w14:textId="77777777" w:rsidR="00A179AA" w:rsidRPr="00A179AA" w:rsidRDefault="00A179AA" w:rsidP="00A179AA">
            <w:pPr>
              <w:widowControl/>
              <w:spacing w:line="600" w:lineRule="atLeast"/>
              <w:jc w:val="left"/>
              <w:rPr>
                <w:rFonts w:ascii="微软雅黑" w:eastAsia="微软雅黑" w:hAnsi="微软雅黑" w:cs="宋体"/>
                <w:b/>
                <w:bCs/>
                <w:color w:val="000000"/>
                <w:kern w:val="0"/>
                <w:sz w:val="24"/>
                <w:szCs w:val="24"/>
              </w:rPr>
            </w:pPr>
            <w:r w:rsidRPr="00A179AA">
              <w:rPr>
                <w:rFonts w:ascii="微软雅黑" w:eastAsia="微软雅黑" w:hAnsi="微软雅黑" w:cs="宋体" w:hint="eastAsia"/>
                <w:b/>
                <w:bCs/>
                <w:color w:val="000000"/>
                <w:kern w:val="0"/>
                <w:sz w:val="24"/>
                <w:szCs w:val="24"/>
              </w:rPr>
              <w:t>成文日期：</w:t>
            </w:r>
          </w:p>
        </w:tc>
        <w:tc>
          <w:tcPr>
            <w:tcW w:w="3225" w:type="dxa"/>
            <w:tcBorders>
              <w:top w:val="single" w:sz="6" w:space="0" w:color="CCCCCC"/>
              <w:left w:val="single" w:sz="6" w:space="0" w:color="CCCCCC"/>
              <w:bottom w:val="single" w:sz="6" w:space="0" w:color="D4AEA6"/>
              <w:right w:val="single" w:sz="6" w:space="0" w:color="CCCCCC"/>
            </w:tcBorders>
            <w:shd w:val="clear" w:color="auto" w:fill="FFFFFF"/>
            <w:tcMar>
              <w:top w:w="0" w:type="dxa"/>
              <w:left w:w="300" w:type="dxa"/>
              <w:bottom w:w="0" w:type="dxa"/>
              <w:right w:w="0" w:type="dxa"/>
            </w:tcMar>
            <w:vAlign w:val="center"/>
            <w:hideMark/>
          </w:tcPr>
          <w:p w14:paraId="24421FDC" w14:textId="77777777" w:rsidR="00A179AA" w:rsidRPr="00A179AA" w:rsidRDefault="00A179AA" w:rsidP="00A179AA">
            <w:pPr>
              <w:widowControl/>
              <w:spacing w:line="600" w:lineRule="atLeast"/>
              <w:jc w:val="left"/>
              <w:rPr>
                <w:rFonts w:ascii="微软雅黑" w:eastAsia="微软雅黑" w:hAnsi="微软雅黑" w:cs="宋体" w:hint="eastAsia"/>
                <w:color w:val="000000"/>
                <w:kern w:val="0"/>
                <w:sz w:val="24"/>
                <w:szCs w:val="24"/>
              </w:rPr>
            </w:pPr>
            <w:r w:rsidRPr="00A179AA">
              <w:rPr>
                <w:rFonts w:ascii="微软雅黑" w:eastAsia="微软雅黑" w:hAnsi="微软雅黑" w:cs="宋体" w:hint="eastAsia"/>
                <w:color w:val="000000"/>
                <w:kern w:val="0"/>
                <w:sz w:val="24"/>
                <w:szCs w:val="24"/>
              </w:rPr>
              <w:t>2017-12-29</w:t>
            </w:r>
          </w:p>
        </w:tc>
      </w:tr>
      <w:tr w:rsidR="00A179AA" w:rsidRPr="00A179AA" w14:paraId="33D9F322" w14:textId="77777777" w:rsidTr="00A179AA">
        <w:trPr>
          <w:trHeight w:val="600"/>
          <w:tblCellSpacing w:w="0" w:type="dxa"/>
          <w:jc w:val="center"/>
        </w:trPr>
        <w:tc>
          <w:tcPr>
            <w:tcW w:w="0" w:type="auto"/>
            <w:tcBorders>
              <w:top w:val="nil"/>
              <w:left w:val="nil"/>
              <w:bottom w:val="single" w:sz="6" w:space="0" w:color="D4AEA6"/>
              <w:right w:val="single" w:sz="6" w:space="0" w:color="D4AEA6"/>
            </w:tcBorders>
            <w:shd w:val="clear" w:color="auto" w:fill="F7C4BA"/>
            <w:tcMar>
              <w:top w:w="0" w:type="dxa"/>
              <w:left w:w="300" w:type="dxa"/>
              <w:bottom w:w="0" w:type="dxa"/>
              <w:right w:w="0" w:type="dxa"/>
            </w:tcMar>
            <w:vAlign w:val="center"/>
            <w:hideMark/>
          </w:tcPr>
          <w:p w14:paraId="2DFEF86A" w14:textId="77777777" w:rsidR="00A179AA" w:rsidRPr="00A179AA" w:rsidRDefault="00A179AA" w:rsidP="00A179AA">
            <w:pPr>
              <w:widowControl/>
              <w:spacing w:line="600" w:lineRule="atLeast"/>
              <w:jc w:val="left"/>
              <w:rPr>
                <w:rFonts w:ascii="微软雅黑" w:eastAsia="微软雅黑" w:hAnsi="微软雅黑" w:cs="宋体" w:hint="eastAsia"/>
                <w:b/>
                <w:bCs/>
                <w:color w:val="000000"/>
                <w:kern w:val="0"/>
                <w:sz w:val="24"/>
                <w:szCs w:val="24"/>
              </w:rPr>
            </w:pPr>
            <w:r w:rsidRPr="00A179AA">
              <w:rPr>
                <w:rFonts w:ascii="微软雅黑" w:eastAsia="微软雅黑" w:hAnsi="微软雅黑" w:cs="宋体" w:hint="eastAsia"/>
                <w:b/>
                <w:bCs/>
                <w:color w:val="000000"/>
                <w:kern w:val="0"/>
                <w:sz w:val="24"/>
                <w:szCs w:val="24"/>
              </w:rPr>
              <w:t>发布机构：</w:t>
            </w:r>
          </w:p>
        </w:tc>
        <w:tc>
          <w:tcPr>
            <w:tcW w:w="0" w:type="auto"/>
            <w:tcBorders>
              <w:top w:val="nil"/>
              <w:left w:val="nil"/>
              <w:bottom w:val="single" w:sz="6" w:space="0" w:color="D4AEA6"/>
              <w:right w:val="single" w:sz="6" w:space="0" w:color="D4AEA6"/>
            </w:tcBorders>
            <w:shd w:val="clear" w:color="auto" w:fill="FFFFFF"/>
            <w:tcMar>
              <w:top w:w="0" w:type="dxa"/>
              <w:left w:w="300" w:type="dxa"/>
              <w:bottom w:w="0" w:type="dxa"/>
              <w:right w:w="0" w:type="dxa"/>
            </w:tcMar>
            <w:vAlign w:val="center"/>
            <w:hideMark/>
          </w:tcPr>
          <w:p w14:paraId="298CCC68" w14:textId="77777777" w:rsidR="00A179AA" w:rsidRPr="00A179AA" w:rsidRDefault="00A179AA" w:rsidP="00A179AA">
            <w:pPr>
              <w:widowControl/>
              <w:spacing w:line="600" w:lineRule="atLeast"/>
              <w:jc w:val="left"/>
              <w:rPr>
                <w:rFonts w:ascii="微软雅黑" w:eastAsia="微软雅黑" w:hAnsi="微软雅黑" w:cs="宋体" w:hint="eastAsia"/>
                <w:color w:val="000000"/>
                <w:kern w:val="0"/>
                <w:sz w:val="24"/>
                <w:szCs w:val="24"/>
              </w:rPr>
            </w:pPr>
            <w:r w:rsidRPr="00A179AA">
              <w:rPr>
                <w:rFonts w:ascii="微软雅黑" w:eastAsia="微软雅黑" w:hAnsi="微软雅黑" w:cs="宋体" w:hint="eastAsia"/>
                <w:color w:val="000000"/>
                <w:kern w:val="0"/>
                <w:sz w:val="24"/>
                <w:szCs w:val="24"/>
              </w:rPr>
              <w:t>市文化新闻出版广电局</w:t>
            </w:r>
          </w:p>
        </w:tc>
        <w:tc>
          <w:tcPr>
            <w:tcW w:w="0" w:type="auto"/>
            <w:tcBorders>
              <w:top w:val="nil"/>
              <w:left w:val="nil"/>
              <w:bottom w:val="single" w:sz="6" w:space="0" w:color="D4AEA6"/>
              <w:right w:val="single" w:sz="6" w:space="0" w:color="D4AEA6"/>
            </w:tcBorders>
            <w:shd w:val="clear" w:color="auto" w:fill="F7C4BA"/>
            <w:tcMar>
              <w:top w:w="0" w:type="dxa"/>
              <w:left w:w="300" w:type="dxa"/>
              <w:bottom w:w="0" w:type="dxa"/>
              <w:right w:w="0" w:type="dxa"/>
            </w:tcMar>
            <w:vAlign w:val="center"/>
            <w:hideMark/>
          </w:tcPr>
          <w:p w14:paraId="198A79B7" w14:textId="77777777" w:rsidR="00A179AA" w:rsidRPr="00A179AA" w:rsidRDefault="00A179AA" w:rsidP="00A179AA">
            <w:pPr>
              <w:widowControl/>
              <w:spacing w:line="600" w:lineRule="atLeast"/>
              <w:jc w:val="left"/>
              <w:rPr>
                <w:rFonts w:ascii="微软雅黑" w:eastAsia="微软雅黑" w:hAnsi="微软雅黑" w:cs="宋体" w:hint="eastAsia"/>
                <w:b/>
                <w:bCs/>
                <w:color w:val="000000"/>
                <w:kern w:val="0"/>
                <w:sz w:val="24"/>
                <w:szCs w:val="24"/>
              </w:rPr>
            </w:pPr>
            <w:r w:rsidRPr="00A179AA">
              <w:rPr>
                <w:rFonts w:ascii="微软雅黑" w:eastAsia="微软雅黑" w:hAnsi="微软雅黑" w:cs="宋体" w:hint="eastAsia"/>
                <w:b/>
                <w:bCs/>
                <w:color w:val="000000"/>
                <w:kern w:val="0"/>
                <w:sz w:val="24"/>
                <w:szCs w:val="24"/>
              </w:rPr>
              <w:t>公开时限 ：</w:t>
            </w:r>
          </w:p>
        </w:tc>
        <w:tc>
          <w:tcPr>
            <w:tcW w:w="0" w:type="auto"/>
            <w:tcBorders>
              <w:top w:val="single" w:sz="6" w:space="0" w:color="CCCCCC"/>
              <w:left w:val="single" w:sz="6" w:space="0" w:color="CCCCCC"/>
              <w:bottom w:val="single" w:sz="6" w:space="0" w:color="D4AEA6"/>
              <w:right w:val="single" w:sz="6" w:space="0" w:color="CCCCCC"/>
            </w:tcBorders>
            <w:shd w:val="clear" w:color="auto" w:fill="FFFFFF"/>
            <w:tcMar>
              <w:top w:w="0" w:type="dxa"/>
              <w:left w:w="300" w:type="dxa"/>
              <w:bottom w:w="0" w:type="dxa"/>
              <w:right w:w="0" w:type="dxa"/>
            </w:tcMar>
            <w:vAlign w:val="center"/>
            <w:hideMark/>
          </w:tcPr>
          <w:p w14:paraId="706C2357" w14:textId="77777777" w:rsidR="00A179AA" w:rsidRPr="00A179AA" w:rsidRDefault="00A179AA" w:rsidP="00A179AA">
            <w:pPr>
              <w:widowControl/>
              <w:spacing w:line="600" w:lineRule="atLeast"/>
              <w:jc w:val="left"/>
              <w:rPr>
                <w:rFonts w:ascii="微软雅黑" w:eastAsia="微软雅黑" w:hAnsi="微软雅黑" w:cs="宋体" w:hint="eastAsia"/>
                <w:color w:val="000000"/>
                <w:kern w:val="0"/>
                <w:sz w:val="24"/>
                <w:szCs w:val="24"/>
              </w:rPr>
            </w:pPr>
            <w:r w:rsidRPr="00A179AA">
              <w:rPr>
                <w:rFonts w:ascii="微软雅黑" w:eastAsia="微软雅黑" w:hAnsi="微软雅黑" w:cs="宋体" w:hint="eastAsia"/>
                <w:color w:val="000000"/>
                <w:kern w:val="0"/>
                <w:sz w:val="24"/>
                <w:szCs w:val="24"/>
              </w:rPr>
              <w:t>长期公开</w:t>
            </w:r>
          </w:p>
        </w:tc>
        <w:tc>
          <w:tcPr>
            <w:tcW w:w="0" w:type="auto"/>
            <w:tcBorders>
              <w:top w:val="nil"/>
              <w:left w:val="single" w:sz="6" w:space="0" w:color="D4AEA6"/>
              <w:bottom w:val="single" w:sz="6" w:space="0" w:color="D4AEA6"/>
              <w:right w:val="single" w:sz="6" w:space="0" w:color="D4AEA6"/>
            </w:tcBorders>
            <w:shd w:val="clear" w:color="auto" w:fill="F7C4BA"/>
            <w:tcMar>
              <w:top w:w="0" w:type="dxa"/>
              <w:left w:w="300" w:type="dxa"/>
              <w:bottom w:w="0" w:type="dxa"/>
              <w:right w:w="0" w:type="dxa"/>
            </w:tcMar>
            <w:vAlign w:val="center"/>
            <w:hideMark/>
          </w:tcPr>
          <w:p w14:paraId="7F94B3D7" w14:textId="77777777" w:rsidR="00A179AA" w:rsidRPr="00A179AA" w:rsidRDefault="00A179AA" w:rsidP="00A179AA">
            <w:pPr>
              <w:widowControl/>
              <w:spacing w:line="600" w:lineRule="atLeast"/>
              <w:jc w:val="left"/>
              <w:rPr>
                <w:rFonts w:ascii="微软雅黑" w:eastAsia="微软雅黑" w:hAnsi="微软雅黑" w:cs="宋体" w:hint="eastAsia"/>
                <w:b/>
                <w:bCs/>
                <w:color w:val="000000"/>
                <w:kern w:val="0"/>
                <w:sz w:val="24"/>
                <w:szCs w:val="24"/>
              </w:rPr>
            </w:pPr>
            <w:r w:rsidRPr="00A179AA">
              <w:rPr>
                <w:rFonts w:ascii="微软雅黑" w:eastAsia="微软雅黑" w:hAnsi="微软雅黑" w:cs="宋体" w:hint="eastAsia"/>
                <w:b/>
                <w:bCs/>
                <w:color w:val="000000"/>
                <w:kern w:val="0"/>
                <w:sz w:val="24"/>
                <w:szCs w:val="24"/>
              </w:rPr>
              <w:t>公开方式：</w:t>
            </w:r>
          </w:p>
        </w:tc>
        <w:tc>
          <w:tcPr>
            <w:tcW w:w="0" w:type="auto"/>
            <w:tcBorders>
              <w:top w:val="single" w:sz="6" w:space="0" w:color="CCCCCC"/>
              <w:left w:val="single" w:sz="6" w:space="0" w:color="CCCCCC"/>
              <w:bottom w:val="single" w:sz="6" w:space="0" w:color="D4AEA6"/>
              <w:right w:val="single" w:sz="6" w:space="0" w:color="CCCCCC"/>
            </w:tcBorders>
            <w:shd w:val="clear" w:color="auto" w:fill="FFFFFF"/>
            <w:tcMar>
              <w:top w:w="0" w:type="dxa"/>
              <w:left w:w="300" w:type="dxa"/>
              <w:bottom w:w="0" w:type="dxa"/>
              <w:right w:w="0" w:type="dxa"/>
            </w:tcMar>
            <w:vAlign w:val="center"/>
            <w:hideMark/>
          </w:tcPr>
          <w:p w14:paraId="06C44D66" w14:textId="77777777" w:rsidR="00A179AA" w:rsidRPr="00A179AA" w:rsidRDefault="00A179AA" w:rsidP="00A179AA">
            <w:pPr>
              <w:widowControl/>
              <w:spacing w:line="600" w:lineRule="atLeast"/>
              <w:jc w:val="left"/>
              <w:rPr>
                <w:rFonts w:ascii="微软雅黑" w:eastAsia="微软雅黑" w:hAnsi="微软雅黑" w:cs="宋体" w:hint="eastAsia"/>
                <w:color w:val="000000"/>
                <w:kern w:val="0"/>
                <w:sz w:val="24"/>
                <w:szCs w:val="24"/>
              </w:rPr>
            </w:pPr>
            <w:r w:rsidRPr="00A179AA">
              <w:rPr>
                <w:rFonts w:ascii="微软雅黑" w:eastAsia="微软雅黑" w:hAnsi="微软雅黑" w:cs="宋体" w:hint="eastAsia"/>
                <w:color w:val="000000"/>
                <w:kern w:val="0"/>
                <w:sz w:val="24"/>
                <w:szCs w:val="24"/>
              </w:rPr>
              <w:t>主动公开</w:t>
            </w:r>
          </w:p>
        </w:tc>
      </w:tr>
      <w:tr w:rsidR="00A179AA" w:rsidRPr="00A179AA" w14:paraId="75E715E9" w14:textId="77777777" w:rsidTr="00A179AA">
        <w:trPr>
          <w:trHeight w:val="600"/>
          <w:tblCellSpacing w:w="0" w:type="dxa"/>
          <w:jc w:val="center"/>
        </w:trPr>
        <w:tc>
          <w:tcPr>
            <w:tcW w:w="0" w:type="auto"/>
            <w:tcBorders>
              <w:top w:val="nil"/>
              <w:left w:val="nil"/>
              <w:bottom w:val="single" w:sz="6" w:space="0" w:color="D4AEA6"/>
              <w:right w:val="single" w:sz="6" w:space="0" w:color="D4AEA6"/>
            </w:tcBorders>
            <w:shd w:val="clear" w:color="auto" w:fill="F7C4BA"/>
            <w:tcMar>
              <w:top w:w="0" w:type="dxa"/>
              <w:left w:w="300" w:type="dxa"/>
              <w:bottom w:w="0" w:type="dxa"/>
              <w:right w:w="0" w:type="dxa"/>
            </w:tcMar>
            <w:vAlign w:val="center"/>
            <w:hideMark/>
          </w:tcPr>
          <w:p w14:paraId="4B513837" w14:textId="77777777" w:rsidR="00A179AA" w:rsidRPr="00A179AA" w:rsidRDefault="00A179AA" w:rsidP="00A179AA">
            <w:pPr>
              <w:widowControl/>
              <w:spacing w:line="600" w:lineRule="atLeast"/>
              <w:jc w:val="left"/>
              <w:rPr>
                <w:rFonts w:ascii="微软雅黑" w:eastAsia="微软雅黑" w:hAnsi="微软雅黑" w:cs="宋体" w:hint="eastAsia"/>
                <w:b/>
                <w:bCs/>
                <w:color w:val="000000"/>
                <w:kern w:val="0"/>
                <w:sz w:val="24"/>
                <w:szCs w:val="24"/>
              </w:rPr>
            </w:pPr>
            <w:r w:rsidRPr="00A179AA">
              <w:rPr>
                <w:rFonts w:ascii="微软雅黑" w:eastAsia="微软雅黑" w:hAnsi="微软雅黑" w:cs="宋体" w:hint="eastAsia"/>
                <w:b/>
                <w:bCs/>
                <w:color w:val="000000"/>
                <w:kern w:val="0"/>
                <w:sz w:val="24"/>
                <w:szCs w:val="24"/>
              </w:rPr>
              <w:t>文 号：</w:t>
            </w:r>
          </w:p>
        </w:tc>
        <w:tc>
          <w:tcPr>
            <w:tcW w:w="0" w:type="auto"/>
            <w:tcBorders>
              <w:top w:val="nil"/>
              <w:left w:val="nil"/>
              <w:bottom w:val="single" w:sz="6" w:space="0" w:color="D4AEA6"/>
              <w:right w:val="single" w:sz="6" w:space="0" w:color="D4AEA6"/>
            </w:tcBorders>
            <w:shd w:val="clear" w:color="auto" w:fill="FFFFFF"/>
            <w:tcMar>
              <w:top w:w="0" w:type="dxa"/>
              <w:left w:w="300" w:type="dxa"/>
              <w:bottom w:w="0" w:type="dxa"/>
              <w:right w:w="0" w:type="dxa"/>
            </w:tcMar>
            <w:vAlign w:val="center"/>
            <w:hideMark/>
          </w:tcPr>
          <w:p w14:paraId="05E68028" w14:textId="77777777" w:rsidR="00A179AA" w:rsidRPr="00A179AA" w:rsidRDefault="00A179AA" w:rsidP="00A179AA">
            <w:pPr>
              <w:widowControl/>
              <w:spacing w:line="600" w:lineRule="atLeast"/>
              <w:jc w:val="left"/>
              <w:rPr>
                <w:rFonts w:ascii="微软雅黑" w:eastAsia="微软雅黑" w:hAnsi="微软雅黑" w:cs="宋体" w:hint="eastAsia"/>
                <w:b/>
                <w:bCs/>
                <w:color w:val="000000"/>
                <w:kern w:val="0"/>
                <w:sz w:val="24"/>
                <w:szCs w:val="24"/>
              </w:rPr>
            </w:pPr>
          </w:p>
        </w:tc>
        <w:tc>
          <w:tcPr>
            <w:tcW w:w="0" w:type="auto"/>
            <w:tcBorders>
              <w:top w:val="nil"/>
              <w:left w:val="nil"/>
              <w:bottom w:val="single" w:sz="6" w:space="0" w:color="D4AEA6"/>
              <w:right w:val="single" w:sz="6" w:space="0" w:color="D4AEA6"/>
            </w:tcBorders>
            <w:shd w:val="clear" w:color="auto" w:fill="F7C4BA"/>
            <w:tcMar>
              <w:top w:w="0" w:type="dxa"/>
              <w:left w:w="300" w:type="dxa"/>
              <w:bottom w:w="0" w:type="dxa"/>
              <w:right w:w="0" w:type="dxa"/>
            </w:tcMar>
            <w:vAlign w:val="center"/>
            <w:hideMark/>
          </w:tcPr>
          <w:p w14:paraId="76CF40C4" w14:textId="77777777" w:rsidR="00A179AA" w:rsidRPr="00A179AA" w:rsidRDefault="00A179AA" w:rsidP="00A179AA">
            <w:pPr>
              <w:widowControl/>
              <w:spacing w:line="600" w:lineRule="atLeast"/>
              <w:jc w:val="left"/>
              <w:rPr>
                <w:rFonts w:ascii="微软雅黑" w:eastAsia="微软雅黑" w:hAnsi="微软雅黑" w:cs="宋体"/>
                <w:b/>
                <w:bCs/>
                <w:color w:val="000000"/>
                <w:kern w:val="0"/>
                <w:sz w:val="24"/>
                <w:szCs w:val="24"/>
              </w:rPr>
            </w:pPr>
            <w:r w:rsidRPr="00A179AA">
              <w:rPr>
                <w:rFonts w:ascii="微软雅黑" w:eastAsia="微软雅黑" w:hAnsi="微软雅黑" w:cs="宋体" w:hint="eastAsia"/>
                <w:b/>
                <w:bCs/>
                <w:color w:val="000000"/>
                <w:kern w:val="0"/>
                <w:sz w:val="24"/>
                <w:szCs w:val="24"/>
              </w:rPr>
              <w:t>体 裁：</w:t>
            </w:r>
          </w:p>
        </w:tc>
        <w:tc>
          <w:tcPr>
            <w:tcW w:w="0" w:type="auto"/>
            <w:tcBorders>
              <w:top w:val="single" w:sz="6" w:space="0" w:color="CCCCCC"/>
              <w:left w:val="single" w:sz="6" w:space="0" w:color="CCCCCC"/>
              <w:bottom w:val="single" w:sz="6" w:space="0" w:color="D4AEA6"/>
              <w:right w:val="single" w:sz="6" w:space="0" w:color="CCCCCC"/>
            </w:tcBorders>
            <w:shd w:val="clear" w:color="auto" w:fill="FFFFFF"/>
            <w:tcMar>
              <w:top w:w="0" w:type="dxa"/>
              <w:left w:w="300" w:type="dxa"/>
              <w:bottom w:w="0" w:type="dxa"/>
              <w:right w:w="0" w:type="dxa"/>
            </w:tcMar>
            <w:vAlign w:val="center"/>
            <w:hideMark/>
          </w:tcPr>
          <w:p w14:paraId="07F48EED" w14:textId="77777777" w:rsidR="00A179AA" w:rsidRPr="00A179AA" w:rsidRDefault="00A179AA" w:rsidP="00A179AA">
            <w:pPr>
              <w:widowControl/>
              <w:spacing w:line="600" w:lineRule="atLeast"/>
              <w:jc w:val="left"/>
              <w:rPr>
                <w:rFonts w:ascii="微软雅黑" w:eastAsia="微软雅黑" w:hAnsi="微软雅黑" w:cs="宋体" w:hint="eastAsia"/>
                <w:b/>
                <w:bCs/>
                <w:color w:val="000000"/>
                <w:kern w:val="0"/>
                <w:sz w:val="24"/>
                <w:szCs w:val="24"/>
              </w:rPr>
            </w:pPr>
          </w:p>
        </w:tc>
        <w:tc>
          <w:tcPr>
            <w:tcW w:w="0" w:type="auto"/>
            <w:tcBorders>
              <w:top w:val="nil"/>
              <w:left w:val="single" w:sz="6" w:space="0" w:color="D4AEA6"/>
              <w:bottom w:val="single" w:sz="6" w:space="0" w:color="D4AEA6"/>
              <w:right w:val="single" w:sz="6" w:space="0" w:color="D4AEA6"/>
            </w:tcBorders>
            <w:shd w:val="clear" w:color="auto" w:fill="F7C4BA"/>
            <w:tcMar>
              <w:top w:w="0" w:type="dxa"/>
              <w:left w:w="300" w:type="dxa"/>
              <w:bottom w:w="0" w:type="dxa"/>
              <w:right w:w="0" w:type="dxa"/>
            </w:tcMar>
            <w:vAlign w:val="center"/>
            <w:hideMark/>
          </w:tcPr>
          <w:p w14:paraId="4C1BC6FB" w14:textId="77777777" w:rsidR="00A179AA" w:rsidRPr="00A179AA" w:rsidRDefault="00A179AA" w:rsidP="00A179AA">
            <w:pPr>
              <w:widowControl/>
              <w:spacing w:line="600" w:lineRule="atLeast"/>
              <w:jc w:val="left"/>
              <w:rPr>
                <w:rFonts w:ascii="微软雅黑" w:eastAsia="微软雅黑" w:hAnsi="微软雅黑" w:cs="宋体"/>
                <w:b/>
                <w:bCs/>
                <w:color w:val="000000"/>
                <w:kern w:val="0"/>
                <w:sz w:val="24"/>
                <w:szCs w:val="24"/>
              </w:rPr>
            </w:pPr>
            <w:r w:rsidRPr="00A179AA">
              <w:rPr>
                <w:rFonts w:ascii="微软雅黑" w:eastAsia="微软雅黑" w:hAnsi="微软雅黑" w:cs="宋体" w:hint="eastAsia"/>
                <w:b/>
                <w:bCs/>
                <w:color w:val="000000"/>
                <w:kern w:val="0"/>
                <w:sz w:val="24"/>
                <w:szCs w:val="24"/>
              </w:rPr>
              <w:t>发布日期</w:t>
            </w:r>
          </w:p>
        </w:tc>
        <w:tc>
          <w:tcPr>
            <w:tcW w:w="0" w:type="auto"/>
            <w:tcBorders>
              <w:top w:val="single" w:sz="6" w:space="0" w:color="CCCCCC"/>
              <w:left w:val="single" w:sz="6" w:space="0" w:color="CCCCCC"/>
              <w:bottom w:val="single" w:sz="6" w:space="0" w:color="D4AEA6"/>
              <w:right w:val="single" w:sz="6" w:space="0" w:color="CCCCCC"/>
            </w:tcBorders>
            <w:shd w:val="clear" w:color="auto" w:fill="FFFFFF"/>
            <w:tcMar>
              <w:top w:w="0" w:type="dxa"/>
              <w:left w:w="300" w:type="dxa"/>
              <w:bottom w:w="0" w:type="dxa"/>
              <w:right w:w="0" w:type="dxa"/>
            </w:tcMar>
            <w:vAlign w:val="center"/>
            <w:hideMark/>
          </w:tcPr>
          <w:p w14:paraId="60AD5D74" w14:textId="77777777" w:rsidR="00A179AA" w:rsidRPr="00A179AA" w:rsidRDefault="00A179AA" w:rsidP="00A179AA">
            <w:pPr>
              <w:widowControl/>
              <w:spacing w:line="600" w:lineRule="atLeast"/>
              <w:jc w:val="left"/>
              <w:rPr>
                <w:rFonts w:ascii="微软雅黑" w:eastAsia="微软雅黑" w:hAnsi="微软雅黑" w:cs="宋体" w:hint="eastAsia"/>
                <w:color w:val="000000"/>
                <w:kern w:val="0"/>
                <w:sz w:val="24"/>
                <w:szCs w:val="24"/>
              </w:rPr>
            </w:pPr>
            <w:r w:rsidRPr="00A179AA">
              <w:rPr>
                <w:rFonts w:ascii="微软雅黑" w:eastAsia="微软雅黑" w:hAnsi="微软雅黑" w:cs="宋体" w:hint="eastAsia"/>
                <w:color w:val="000000"/>
                <w:kern w:val="0"/>
                <w:sz w:val="24"/>
                <w:szCs w:val="24"/>
              </w:rPr>
              <w:t>2017-12-29 17:57</w:t>
            </w:r>
          </w:p>
        </w:tc>
      </w:tr>
      <w:tr w:rsidR="00A179AA" w:rsidRPr="00A179AA" w14:paraId="33CAB5F9" w14:textId="77777777" w:rsidTr="00A179AA">
        <w:trPr>
          <w:trHeight w:val="600"/>
          <w:tblCellSpacing w:w="0" w:type="dxa"/>
          <w:jc w:val="center"/>
        </w:trPr>
        <w:tc>
          <w:tcPr>
            <w:tcW w:w="0" w:type="auto"/>
            <w:tcBorders>
              <w:top w:val="single" w:sz="6" w:space="0" w:color="CCCCCC"/>
              <w:left w:val="single" w:sz="6" w:space="0" w:color="CCCCCC"/>
              <w:bottom w:val="single" w:sz="6" w:space="0" w:color="CCCCCC"/>
              <w:right w:val="single" w:sz="6" w:space="0" w:color="D4AEA6"/>
            </w:tcBorders>
            <w:shd w:val="clear" w:color="auto" w:fill="F7C4BA"/>
            <w:tcMar>
              <w:top w:w="0" w:type="dxa"/>
              <w:left w:w="300" w:type="dxa"/>
              <w:bottom w:w="0" w:type="dxa"/>
              <w:right w:w="0" w:type="dxa"/>
            </w:tcMar>
            <w:vAlign w:val="center"/>
            <w:hideMark/>
          </w:tcPr>
          <w:p w14:paraId="3D4085A1" w14:textId="77777777" w:rsidR="00A179AA" w:rsidRPr="00A179AA" w:rsidRDefault="00A179AA" w:rsidP="00A179AA">
            <w:pPr>
              <w:widowControl/>
              <w:spacing w:line="600" w:lineRule="atLeast"/>
              <w:jc w:val="left"/>
              <w:rPr>
                <w:rFonts w:ascii="微软雅黑" w:eastAsia="微软雅黑" w:hAnsi="微软雅黑" w:cs="宋体" w:hint="eastAsia"/>
                <w:b/>
                <w:bCs/>
                <w:color w:val="000000"/>
                <w:kern w:val="0"/>
                <w:sz w:val="24"/>
                <w:szCs w:val="24"/>
              </w:rPr>
            </w:pPr>
            <w:r w:rsidRPr="00A179AA">
              <w:rPr>
                <w:rFonts w:ascii="微软雅黑" w:eastAsia="微软雅黑" w:hAnsi="微软雅黑" w:cs="宋体" w:hint="eastAsia"/>
                <w:b/>
                <w:bCs/>
                <w:color w:val="000000"/>
                <w:kern w:val="0"/>
                <w:sz w:val="24"/>
                <w:szCs w:val="24"/>
              </w:rPr>
              <w:t>名 称：</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0" w:type="dxa"/>
              <w:left w:w="300" w:type="dxa"/>
              <w:bottom w:w="0" w:type="dxa"/>
              <w:right w:w="0" w:type="dxa"/>
            </w:tcMar>
            <w:vAlign w:val="center"/>
            <w:hideMark/>
          </w:tcPr>
          <w:p w14:paraId="6F53403C" w14:textId="77777777" w:rsidR="00A179AA" w:rsidRPr="00A179AA" w:rsidRDefault="00A179AA" w:rsidP="00A179AA">
            <w:pPr>
              <w:widowControl/>
              <w:spacing w:line="600" w:lineRule="atLeast"/>
              <w:jc w:val="left"/>
              <w:rPr>
                <w:rFonts w:ascii="微软雅黑" w:eastAsia="微软雅黑" w:hAnsi="微软雅黑" w:cs="宋体" w:hint="eastAsia"/>
                <w:color w:val="000000"/>
                <w:kern w:val="0"/>
                <w:sz w:val="24"/>
                <w:szCs w:val="24"/>
              </w:rPr>
            </w:pPr>
            <w:r w:rsidRPr="00A179AA">
              <w:rPr>
                <w:rFonts w:ascii="微软雅黑" w:eastAsia="微软雅黑" w:hAnsi="微软雅黑" w:cs="宋体" w:hint="eastAsia"/>
                <w:color w:val="000000"/>
                <w:kern w:val="0"/>
                <w:sz w:val="24"/>
                <w:szCs w:val="24"/>
              </w:rPr>
              <w:t>贵阳市促进民办博物馆发展实施办法(暂行)</w:t>
            </w:r>
          </w:p>
        </w:tc>
        <w:tc>
          <w:tcPr>
            <w:tcW w:w="0" w:type="auto"/>
            <w:tcBorders>
              <w:top w:val="single" w:sz="6" w:space="0" w:color="CCCCCC"/>
              <w:left w:val="single" w:sz="6" w:space="0" w:color="D4AEA6"/>
              <w:bottom w:val="single" w:sz="6" w:space="0" w:color="CCCCCC"/>
              <w:right w:val="single" w:sz="6" w:space="0" w:color="D4AEA6"/>
            </w:tcBorders>
            <w:shd w:val="clear" w:color="auto" w:fill="F7C4BA"/>
            <w:tcMar>
              <w:top w:w="0" w:type="dxa"/>
              <w:left w:w="300" w:type="dxa"/>
              <w:bottom w:w="0" w:type="dxa"/>
              <w:right w:w="0" w:type="dxa"/>
            </w:tcMar>
            <w:vAlign w:val="center"/>
            <w:hideMark/>
          </w:tcPr>
          <w:p w14:paraId="67D43A53" w14:textId="77777777" w:rsidR="00A179AA" w:rsidRPr="00A179AA" w:rsidRDefault="00A179AA" w:rsidP="00A179AA">
            <w:pPr>
              <w:widowControl/>
              <w:spacing w:line="600" w:lineRule="atLeast"/>
              <w:jc w:val="left"/>
              <w:rPr>
                <w:rFonts w:ascii="微软雅黑" w:eastAsia="微软雅黑" w:hAnsi="微软雅黑" w:cs="宋体" w:hint="eastAsia"/>
                <w:b/>
                <w:bCs/>
                <w:color w:val="000000"/>
                <w:kern w:val="0"/>
                <w:sz w:val="24"/>
                <w:szCs w:val="24"/>
              </w:rPr>
            </w:pPr>
            <w:r w:rsidRPr="00A179AA">
              <w:rPr>
                <w:rFonts w:ascii="微软雅黑" w:eastAsia="微软雅黑" w:hAnsi="微软雅黑" w:cs="宋体" w:hint="eastAsia"/>
                <w:b/>
                <w:bCs/>
                <w:color w:val="000000"/>
                <w:kern w:val="0"/>
                <w:sz w:val="24"/>
                <w:szCs w:val="24"/>
              </w:rPr>
              <w:t>来 源：</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300" w:type="dxa"/>
              <w:bottom w:w="0" w:type="dxa"/>
              <w:right w:w="0" w:type="dxa"/>
            </w:tcMar>
            <w:vAlign w:val="center"/>
            <w:hideMark/>
          </w:tcPr>
          <w:p w14:paraId="53CE7E28" w14:textId="77777777" w:rsidR="00A179AA" w:rsidRPr="00A179AA" w:rsidRDefault="00A179AA" w:rsidP="00A179AA">
            <w:pPr>
              <w:widowControl/>
              <w:spacing w:line="600" w:lineRule="atLeast"/>
              <w:jc w:val="left"/>
              <w:rPr>
                <w:rFonts w:ascii="微软雅黑" w:eastAsia="微软雅黑" w:hAnsi="微软雅黑" w:cs="宋体" w:hint="eastAsia"/>
                <w:color w:val="000000"/>
                <w:kern w:val="0"/>
                <w:sz w:val="24"/>
                <w:szCs w:val="24"/>
              </w:rPr>
            </w:pPr>
            <w:r w:rsidRPr="00A179AA">
              <w:rPr>
                <w:rFonts w:ascii="微软雅黑" w:eastAsia="微软雅黑" w:hAnsi="微软雅黑" w:cs="宋体" w:hint="eastAsia"/>
                <w:color w:val="000000"/>
                <w:kern w:val="0"/>
                <w:sz w:val="24"/>
                <w:szCs w:val="24"/>
              </w:rPr>
              <w:t>贵阳市文化新闻出版广电局</w:t>
            </w:r>
          </w:p>
        </w:tc>
      </w:tr>
    </w:tbl>
    <w:p w14:paraId="02B3EB73" w14:textId="77777777" w:rsidR="00A179AA" w:rsidRPr="00A179AA" w:rsidRDefault="00A179AA" w:rsidP="00A179AA">
      <w:pPr>
        <w:widowControl/>
        <w:jc w:val="left"/>
        <w:rPr>
          <w:rFonts w:ascii="宋体" w:eastAsia="宋体" w:hAnsi="宋体" w:cs="宋体"/>
          <w:vanish/>
          <w:kern w:val="0"/>
          <w:sz w:val="24"/>
          <w:szCs w:val="24"/>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290"/>
      </w:tblGrid>
      <w:tr w:rsidR="00A179AA" w:rsidRPr="00A179AA" w14:paraId="30103B55" w14:textId="77777777" w:rsidTr="00A179AA">
        <w:trPr>
          <w:trHeight w:val="150"/>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B5C5406" w14:textId="77777777" w:rsidR="00A179AA" w:rsidRPr="00A179AA" w:rsidRDefault="00A179AA" w:rsidP="00A179AA">
            <w:pPr>
              <w:widowControl/>
              <w:jc w:val="left"/>
              <w:rPr>
                <w:rFonts w:ascii="宋体" w:eastAsia="宋体" w:hAnsi="宋体" w:cs="宋体" w:hint="eastAsia"/>
                <w:kern w:val="0"/>
                <w:sz w:val="24"/>
                <w:szCs w:val="24"/>
              </w:rPr>
            </w:pPr>
          </w:p>
        </w:tc>
      </w:tr>
    </w:tbl>
    <w:p w14:paraId="79C0EB7D" w14:textId="77777777" w:rsidR="00A179AA" w:rsidRPr="00A179AA" w:rsidRDefault="00A179AA" w:rsidP="00A179AA">
      <w:pPr>
        <w:widowControl/>
        <w:shd w:val="clear" w:color="auto" w:fill="FFFFFF"/>
        <w:spacing w:line="420" w:lineRule="atLeast"/>
        <w:jc w:val="center"/>
        <w:rPr>
          <w:rFonts w:ascii="微软雅黑" w:eastAsia="微软雅黑" w:hAnsi="微软雅黑" w:cs="宋体"/>
          <w:color w:val="C72504"/>
          <w:kern w:val="0"/>
          <w:sz w:val="33"/>
          <w:szCs w:val="33"/>
        </w:rPr>
      </w:pPr>
      <w:bookmarkStart w:id="0" w:name="_GoBack"/>
      <w:r w:rsidRPr="00A179AA">
        <w:rPr>
          <w:rFonts w:ascii="微软雅黑" w:eastAsia="微软雅黑" w:hAnsi="微软雅黑" w:cs="宋体" w:hint="eastAsia"/>
          <w:color w:val="C72504"/>
          <w:kern w:val="0"/>
          <w:sz w:val="33"/>
          <w:szCs w:val="33"/>
        </w:rPr>
        <w:t>贵阳市促进民办博物馆发展实施办法(暂行)</w:t>
      </w:r>
      <w:bookmarkEnd w:id="0"/>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290"/>
      </w:tblGrid>
      <w:tr w:rsidR="00A179AA" w:rsidRPr="00A179AA" w14:paraId="73536EA3" w14:textId="77777777" w:rsidTr="00A179AA">
        <w:trP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0" w:type="dxa"/>
              <w:bottom w:w="12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244"/>
            </w:tblGrid>
            <w:tr w:rsidR="00A179AA" w:rsidRPr="00A179AA" w14:paraId="079E1C9D" w14:textId="77777777">
              <w:trPr>
                <w:trHeight w:val="450"/>
                <w:tblCellSpacing w:w="0" w:type="dxa"/>
                <w:jc w:val="center"/>
              </w:trPr>
              <w:tc>
                <w:tcPr>
                  <w:tcW w:w="0" w:type="auto"/>
                  <w:tcBorders>
                    <w:top w:val="single" w:sz="6" w:space="0" w:color="CCCCCC"/>
                    <w:left w:val="single" w:sz="6" w:space="0" w:color="CCCCCC"/>
                    <w:bottom w:val="single" w:sz="6" w:space="0" w:color="CCCCCC"/>
                    <w:right w:val="single" w:sz="6" w:space="0" w:color="CCCCCC"/>
                  </w:tcBorders>
                  <w:vAlign w:val="center"/>
                  <w:hideMark/>
                </w:tcPr>
                <w:p w14:paraId="791722C7" w14:textId="77777777" w:rsidR="00A179AA" w:rsidRPr="00A179AA" w:rsidRDefault="00A179AA" w:rsidP="00A179AA">
                  <w:pPr>
                    <w:widowControl/>
                    <w:jc w:val="center"/>
                    <w:rPr>
                      <w:rFonts w:ascii="宋体" w:eastAsia="宋体" w:hAnsi="宋体" w:cs="宋体" w:hint="eastAsia"/>
                      <w:kern w:val="0"/>
                      <w:sz w:val="24"/>
                      <w:szCs w:val="24"/>
                    </w:rPr>
                  </w:pPr>
                  <w:r w:rsidRPr="00A179AA">
                    <w:rPr>
                      <w:rFonts w:ascii="宋体" w:eastAsia="宋体" w:hAnsi="宋体" w:cs="宋体"/>
                      <w:kern w:val="0"/>
                      <w:sz w:val="24"/>
                      <w:szCs w:val="24"/>
                    </w:rPr>
                    <w:t>市文化新闻出版广电局 | 更新时间：2017-12-29 17:57:00 |浏览次数:6 | 来源：贵阳市文化新闻出版广电局 | 字体：</w:t>
                  </w:r>
                  <w:hyperlink r:id="rId6" w:history="1">
                    <w:r w:rsidRPr="00A179AA">
                      <w:rPr>
                        <w:rFonts w:ascii="宋体" w:eastAsia="宋体" w:hAnsi="宋体" w:cs="宋体"/>
                        <w:color w:val="3D3D3D"/>
                        <w:kern w:val="0"/>
                        <w:sz w:val="24"/>
                        <w:szCs w:val="24"/>
                        <w:u w:val="single"/>
                      </w:rPr>
                      <w:t>【大】</w:t>
                    </w:r>
                  </w:hyperlink>
                  <w:hyperlink r:id="rId7" w:history="1">
                    <w:r w:rsidRPr="00A179AA">
                      <w:rPr>
                        <w:rFonts w:ascii="宋体" w:eastAsia="宋体" w:hAnsi="宋体" w:cs="宋体"/>
                        <w:color w:val="3D3D3D"/>
                        <w:kern w:val="0"/>
                        <w:sz w:val="24"/>
                        <w:szCs w:val="24"/>
                        <w:u w:val="single"/>
                      </w:rPr>
                      <w:t>【中】</w:t>
                    </w:r>
                  </w:hyperlink>
                  <w:hyperlink r:id="rId8" w:history="1">
                    <w:r w:rsidRPr="00A179AA">
                      <w:rPr>
                        <w:rFonts w:ascii="宋体" w:eastAsia="宋体" w:hAnsi="宋体" w:cs="宋体"/>
                        <w:color w:val="3D3D3D"/>
                        <w:kern w:val="0"/>
                        <w:sz w:val="24"/>
                        <w:szCs w:val="24"/>
                        <w:u w:val="single"/>
                      </w:rPr>
                      <w:t>【小】</w:t>
                    </w:r>
                  </w:hyperlink>
                </w:p>
              </w:tc>
            </w:tr>
          </w:tbl>
          <w:p w14:paraId="57BC714D" w14:textId="77777777" w:rsidR="00A179AA" w:rsidRPr="00A179AA" w:rsidRDefault="00A179AA" w:rsidP="00A179AA">
            <w:pPr>
              <w:widowControl/>
              <w:jc w:val="center"/>
              <w:rPr>
                <w:rFonts w:ascii="微软雅黑" w:eastAsia="微软雅黑" w:hAnsi="微软雅黑" w:cs="宋体"/>
                <w:color w:val="000000"/>
                <w:kern w:val="0"/>
                <w:szCs w:val="21"/>
              </w:rPr>
            </w:pPr>
          </w:p>
        </w:tc>
      </w:tr>
      <w:tr w:rsidR="00A179AA" w:rsidRPr="00A179AA" w14:paraId="3C678091" w14:textId="77777777" w:rsidTr="00A179AA">
        <w:trP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2C850FC" w14:textId="77777777" w:rsidR="00A179AA" w:rsidRPr="00A179AA" w:rsidRDefault="00A179AA" w:rsidP="00A179AA">
            <w:pPr>
              <w:widowControl/>
              <w:spacing w:line="375" w:lineRule="atLeast"/>
              <w:ind w:firstLine="480"/>
              <w:jc w:val="left"/>
              <w:rPr>
                <w:rFonts w:ascii="微软雅黑" w:eastAsia="微软雅黑" w:hAnsi="微软雅黑" w:cs="宋体"/>
                <w:color w:val="000000"/>
                <w:kern w:val="0"/>
                <w:szCs w:val="21"/>
              </w:rPr>
            </w:pPr>
          </w:p>
          <w:p w14:paraId="39D7B16F" w14:textId="77777777" w:rsidR="00A179AA" w:rsidRPr="00A179AA" w:rsidRDefault="00A179AA" w:rsidP="00A179AA">
            <w:pPr>
              <w:widowControl/>
              <w:spacing w:line="375" w:lineRule="atLeast"/>
              <w:ind w:firstLine="480"/>
              <w:jc w:val="center"/>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第一章   总则</w:t>
            </w:r>
          </w:p>
          <w:p w14:paraId="22BEB9A8"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第一条  为进一步调动社会力量参与公共文化服务体系建设和文化遗产保护，促进民办博物馆健康有序发展，推动文化创新发展，根据《中华人民共和国文物保护法》、《博物馆条例》和国家文物局等七部委《关于促进民办博物馆发展的意见》（</w:t>
            </w:r>
            <w:proofErr w:type="gramStart"/>
            <w:r w:rsidRPr="00A179AA">
              <w:rPr>
                <w:rFonts w:ascii="微软雅黑" w:eastAsia="微软雅黑" w:hAnsi="微软雅黑" w:cs="宋体" w:hint="eastAsia"/>
                <w:color w:val="000000"/>
                <w:kern w:val="0"/>
                <w:szCs w:val="21"/>
              </w:rPr>
              <w:t>文物博发〔2010〕</w:t>
            </w:r>
            <w:proofErr w:type="gramEnd"/>
            <w:r w:rsidRPr="00A179AA">
              <w:rPr>
                <w:rFonts w:ascii="微软雅黑" w:eastAsia="微软雅黑" w:hAnsi="微软雅黑" w:cs="宋体" w:hint="eastAsia"/>
                <w:color w:val="000000"/>
                <w:kern w:val="0"/>
                <w:szCs w:val="21"/>
              </w:rPr>
              <w:t>11号）等有关法律、法规、规定，结合我市实际，制定本办法。</w:t>
            </w:r>
          </w:p>
          <w:p w14:paraId="09E51CB4"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lastRenderedPageBreak/>
              <w:t>第二条  本办法所称民办博物馆是指为了教育、研究、欣赏的目的，由社会力量利用非国有文物、标本、资料等资产，依法在我市设立并取得法人资格，向公众开放的非营利性社会服务机构。</w:t>
            </w:r>
          </w:p>
          <w:p w14:paraId="358AE17C"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第三条  本办法主要适用于贵阳市行政区域内登记设立的民办博物馆。</w:t>
            </w:r>
          </w:p>
          <w:p w14:paraId="2BF91F73" w14:textId="77777777" w:rsidR="00A179AA" w:rsidRPr="00A179AA" w:rsidRDefault="00A179AA" w:rsidP="00A179AA">
            <w:pPr>
              <w:widowControl/>
              <w:spacing w:line="375" w:lineRule="atLeast"/>
              <w:ind w:firstLine="480"/>
              <w:jc w:val="center"/>
              <w:rPr>
                <w:rFonts w:ascii="微软雅黑" w:eastAsia="微软雅黑" w:hAnsi="微软雅黑" w:cs="宋体" w:hint="eastAsia"/>
                <w:color w:val="000000"/>
                <w:kern w:val="0"/>
                <w:szCs w:val="21"/>
              </w:rPr>
            </w:pPr>
          </w:p>
          <w:p w14:paraId="0F384A9C" w14:textId="77777777" w:rsidR="00A179AA" w:rsidRPr="00A179AA" w:rsidRDefault="00A179AA" w:rsidP="00A179AA">
            <w:pPr>
              <w:widowControl/>
              <w:spacing w:line="375" w:lineRule="atLeast"/>
              <w:ind w:firstLine="480"/>
              <w:jc w:val="center"/>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第二章  资金扶持</w:t>
            </w:r>
          </w:p>
          <w:p w14:paraId="7D92EF40"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第四条  每年在市级文化主管部门预算内安排一定额度资金，用于扶持和促进民办博物馆发展。</w:t>
            </w:r>
          </w:p>
          <w:p w14:paraId="08F16D61"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第五条  对民办博物馆场馆建设给予补助。对个人和民营企业出资新建且符合办馆要求的民办博物馆，建成后参照国有博物馆评估定级标准，将民办博物馆</w:t>
            </w:r>
            <w:proofErr w:type="gramStart"/>
            <w:r w:rsidRPr="00A179AA">
              <w:rPr>
                <w:rFonts w:ascii="微软雅黑" w:eastAsia="微软雅黑" w:hAnsi="微软雅黑" w:cs="宋体" w:hint="eastAsia"/>
                <w:color w:val="000000"/>
                <w:kern w:val="0"/>
                <w:szCs w:val="21"/>
              </w:rPr>
              <w:t>按照展</w:t>
            </w:r>
            <w:proofErr w:type="gramEnd"/>
            <w:r w:rsidRPr="00A179AA">
              <w:rPr>
                <w:rFonts w:ascii="微软雅黑" w:eastAsia="微软雅黑" w:hAnsi="微软雅黑" w:cs="宋体" w:hint="eastAsia"/>
                <w:color w:val="000000"/>
                <w:kern w:val="0"/>
                <w:szCs w:val="21"/>
              </w:rPr>
              <w:t>陈面积、藏品数量、等级、类型等因素，结合展览规模、展览天数等情况，进行综合考评，分为大、中、小三个级别，分别给予一次性建设补助，补助金额最高不超过10万元。 </w:t>
            </w:r>
          </w:p>
          <w:p w14:paraId="30FDD0EB"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第六条  对民办博物馆陈列展览给予补助。对开展免费开放的民办博物馆，由文化主管部门按年度对民办博物馆进行综合考核，结合展览规模、免费开放天数、免费参观人数、提供的社会服务质量等因素，分为“一等”、“二等”和“三等”三个等级，分别给予一定奖励，最高不超过10万元。</w:t>
            </w:r>
          </w:p>
          <w:p w14:paraId="1444A76F"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第七条 对积极参与我市公共文化服务体系和国民教育体系建设的民办博物馆,可通过政府购买服务方式,按照公平、择优的原则，给予民办博物馆一定的奖励扶持。 </w:t>
            </w:r>
          </w:p>
          <w:p w14:paraId="28D7FB8F" w14:textId="77777777" w:rsidR="00A179AA" w:rsidRPr="00A179AA" w:rsidRDefault="00A179AA" w:rsidP="00A179AA">
            <w:pPr>
              <w:widowControl/>
              <w:spacing w:line="375" w:lineRule="atLeast"/>
              <w:ind w:firstLine="480"/>
              <w:jc w:val="center"/>
              <w:rPr>
                <w:rFonts w:ascii="微软雅黑" w:eastAsia="微软雅黑" w:hAnsi="微软雅黑" w:cs="宋体" w:hint="eastAsia"/>
                <w:color w:val="000000"/>
                <w:kern w:val="0"/>
                <w:szCs w:val="21"/>
              </w:rPr>
            </w:pPr>
          </w:p>
          <w:p w14:paraId="00DA5334" w14:textId="77777777" w:rsidR="00A179AA" w:rsidRPr="00A179AA" w:rsidRDefault="00A179AA" w:rsidP="00A179AA">
            <w:pPr>
              <w:widowControl/>
              <w:spacing w:line="375" w:lineRule="atLeast"/>
              <w:ind w:firstLine="480"/>
              <w:jc w:val="center"/>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第三章   税费优惠</w:t>
            </w:r>
          </w:p>
          <w:p w14:paraId="52B6927C"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第八条  民办博物馆在接收捐赠、门票收入、非营利性收入等方面，可按照现行税法规定依法享受相关政策优惠。</w:t>
            </w:r>
          </w:p>
          <w:p w14:paraId="411E7969"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lastRenderedPageBreak/>
              <w:t>第九条  民办博物馆缴纳土地使用税确有困难,符合《贵州省城镇土地使用税困难减免管理办法》的，可按有关规定向主管税务机关申请办理减免手续。缴纳房地产有关税费确有困难，符合条件的，可向主管税务机关申请减免。</w:t>
            </w:r>
          </w:p>
          <w:p w14:paraId="492498B2"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第十条  个人、企业以及其他团体对民办博物馆的捐赠、赞助涉及税收减免和奖励的，按照国家有关规定执行。</w:t>
            </w:r>
          </w:p>
          <w:p w14:paraId="1C02BF8E" w14:textId="77777777" w:rsidR="00A179AA" w:rsidRPr="00A179AA" w:rsidRDefault="00A179AA" w:rsidP="00A179AA">
            <w:pPr>
              <w:widowControl/>
              <w:spacing w:line="375" w:lineRule="atLeast"/>
              <w:ind w:firstLine="480"/>
              <w:jc w:val="center"/>
              <w:rPr>
                <w:rFonts w:ascii="微软雅黑" w:eastAsia="微软雅黑" w:hAnsi="微软雅黑" w:cs="宋体" w:hint="eastAsia"/>
                <w:color w:val="000000"/>
                <w:kern w:val="0"/>
                <w:szCs w:val="21"/>
              </w:rPr>
            </w:pPr>
          </w:p>
          <w:p w14:paraId="307B6ABA" w14:textId="77777777" w:rsidR="00A179AA" w:rsidRPr="00A179AA" w:rsidRDefault="00A179AA" w:rsidP="00A179AA">
            <w:pPr>
              <w:widowControl/>
              <w:spacing w:line="375" w:lineRule="atLeast"/>
              <w:ind w:firstLine="480"/>
              <w:jc w:val="center"/>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第四章  用地用房保障</w:t>
            </w:r>
          </w:p>
          <w:p w14:paraId="09BA27A2"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第十一条  优惠供给民办博物馆建设用地。对符合国家《划拨用地目录》规定的非营利性民办博物馆的建设用地，经县级以上政府批准,可以划拨方式供地。</w:t>
            </w:r>
          </w:p>
          <w:p w14:paraId="458F1EF5"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第十二条  在旅游景区和文化产业园区等规划布局上，应考虑博物馆用地，用于民办博物馆建设。</w:t>
            </w:r>
          </w:p>
          <w:p w14:paraId="1EA3842F"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第十三条　在符合保护、修缮和建设控制要求的前提下，鼓励利用古村落、古建筑、景点景区设立民办博物馆；鼓励在城市更新改造过程中，利用有一定价值的历史建筑设立民办博物馆。</w:t>
            </w:r>
          </w:p>
          <w:p w14:paraId="0212B720"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第十四条  支持民营企业、社会组织、个人利用原厂房兴办博物馆，鼓励其利用7%的工业配套设施用地按照城市规划的要求兴建博物馆。</w:t>
            </w:r>
          </w:p>
          <w:p w14:paraId="2307F502" w14:textId="77777777" w:rsidR="00A179AA" w:rsidRPr="00A179AA" w:rsidRDefault="00A179AA" w:rsidP="00A179AA">
            <w:pPr>
              <w:widowControl/>
              <w:spacing w:line="375" w:lineRule="atLeast"/>
              <w:ind w:firstLine="480"/>
              <w:jc w:val="center"/>
              <w:rPr>
                <w:rFonts w:ascii="微软雅黑" w:eastAsia="微软雅黑" w:hAnsi="微软雅黑" w:cs="宋体" w:hint="eastAsia"/>
                <w:color w:val="000000"/>
                <w:kern w:val="0"/>
                <w:szCs w:val="21"/>
              </w:rPr>
            </w:pPr>
          </w:p>
          <w:p w14:paraId="034F11EB" w14:textId="77777777" w:rsidR="00A179AA" w:rsidRPr="00A179AA" w:rsidRDefault="00A179AA" w:rsidP="00A179AA">
            <w:pPr>
              <w:widowControl/>
              <w:spacing w:line="375" w:lineRule="atLeast"/>
              <w:ind w:firstLine="480"/>
              <w:jc w:val="center"/>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第五章 其他扶持</w:t>
            </w:r>
          </w:p>
          <w:p w14:paraId="0B6F13BB"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第十五条  对符合设立条件的民办博物馆，按照《民办非企业单位登记管理暂行条例》和《博物馆管理办法》等有关规定，及时审核和给予登记注册。</w:t>
            </w:r>
          </w:p>
          <w:p w14:paraId="3F54989F"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lastRenderedPageBreak/>
              <w:t>第十六条  民办博物馆在行业准入、等级评定、人员培训、职称评定、科研活动、陈列展览，以及人才、学术的交流、合作、奖励、政府政策信息服务等方面，与国有博物馆同等待遇。</w:t>
            </w:r>
          </w:p>
          <w:p w14:paraId="2B6FD243"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第十七条  将具有旅游服务功能的民办博物馆纳入全市旅游规划，开辟特色旅游专线，积极宣传推介。文化和旅游部门应指导民办博物馆编辑制作博物馆导</w:t>
            </w:r>
            <w:proofErr w:type="gramStart"/>
            <w:r w:rsidRPr="00A179AA">
              <w:rPr>
                <w:rFonts w:ascii="微软雅黑" w:eastAsia="微软雅黑" w:hAnsi="微软雅黑" w:cs="宋体" w:hint="eastAsia"/>
                <w:color w:val="000000"/>
                <w:kern w:val="0"/>
                <w:szCs w:val="21"/>
              </w:rPr>
              <w:t>览</w:t>
            </w:r>
            <w:proofErr w:type="gramEnd"/>
            <w:r w:rsidRPr="00A179AA">
              <w:rPr>
                <w:rFonts w:ascii="微软雅黑" w:eastAsia="微软雅黑" w:hAnsi="微软雅黑" w:cs="宋体" w:hint="eastAsia"/>
                <w:color w:val="000000"/>
                <w:kern w:val="0"/>
                <w:szCs w:val="21"/>
              </w:rPr>
              <w:t>手册。</w:t>
            </w:r>
          </w:p>
          <w:p w14:paraId="7BE21BF8"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第十八条  市级广播电视、报刊等媒体要大力宣传民办博物馆的概况和展览信息，宣传政府鼓励和支持民办博物馆发展的方针政策，宣传民办博物馆在促进贵阳文化创新发展中的重要作用，扩大民办博物馆的社会影响力。</w:t>
            </w:r>
          </w:p>
          <w:p w14:paraId="2C57EBCF"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第十九条 对于社会服务功能发挥良好、成绩突出的民办博物馆，可按规定申报命名为爱国主义教育基地和青少年教育基地。充分发挥民办博物馆爱国主义教育基地功能和中小学生社会大课堂作用，积极组织学生参观学习。</w:t>
            </w:r>
          </w:p>
          <w:p w14:paraId="43FE41A3"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第二十条  对民办博物馆引进、培养的高层次人才,持有“贵阳市人才服务绿卡”的引进人才，按照贵阳市人才政策享受社保、</w:t>
            </w:r>
            <w:proofErr w:type="gramStart"/>
            <w:r w:rsidRPr="00A179AA">
              <w:rPr>
                <w:rFonts w:ascii="微软雅黑" w:eastAsia="微软雅黑" w:hAnsi="微软雅黑" w:cs="宋体" w:hint="eastAsia"/>
                <w:color w:val="000000"/>
                <w:kern w:val="0"/>
                <w:szCs w:val="21"/>
              </w:rPr>
              <w:t>医</w:t>
            </w:r>
            <w:proofErr w:type="gramEnd"/>
            <w:r w:rsidRPr="00A179AA">
              <w:rPr>
                <w:rFonts w:ascii="微软雅黑" w:eastAsia="微软雅黑" w:hAnsi="微软雅黑" w:cs="宋体" w:hint="eastAsia"/>
                <w:color w:val="000000"/>
                <w:kern w:val="0"/>
                <w:szCs w:val="21"/>
              </w:rPr>
              <w:t>保、住房、子女入学等优惠政策。</w:t>
            </w:r>
          </w:p>
          <w:p w14:paraId="0C28D11A"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第二十一条  文物部门要积极组织开展业务培训和馆际交流活动，不断提高从业人员的业务能力，促进行业内的经验分享。</w:t>
            </w:r>
          </w:p>
          <w:p w14:paraId="14EA7F7B" w14:textId="77777777" w:rsidR="00A179AA" w:rsidRPr="00A179AA" w:rsidRDefault="00A179AA" w:rsidP="00A179AA">
            <w:pPr>
              <w:widowControl/>
              <w:spacing w:line="375" w:lineRule="atLeast"/>
              <w:ind w:firstLine="480"/>
              <w:jc w:val="center"/>
              <w:rPr>
                <w:rFonts w:ascii="微软雅黑" w:eastAsia="微软雅黑" w:hAnsi="微软雅黑" w:cs="宋体" w:hint="eastAsia"/>
                <w:color w:val="000000"/>
                <w:kern w:val="0"/>
                <w:szCs w:val="21"/>
              </w:rPr>
            </w:pPr>
          </w:p>
          <w:p w14:paraId="03294B88" w14:textId="77777777" w:rsidR="00A179AA" w:rsidRPr="00A179AA" w:rsidRDefault="00A179AA" w:rsidP="00A179AA">
            <w:pPr>
              <w:widowControl/>
              <w:spacing w:line="375" w:lineRule="atLeast"/>
              <w:ind w:firstLine="480"/>
              <w:jc w:val="center"/>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第六章 监督与管理</w:t>
            </w:r>
          </w:p>
          <w:p w14:paraId="62435C92"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第二十二条  民办博物馆须严格遵守国家相关政策法规、技术标准规范，以及国际博物馆协会职业道德准则，依法自我管理、科学运行，承担相应的社会义务。</w:t>
            </w:r>
          </w:p>
          <w:p w14:paraId="4D4347C6"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鼓励民办博物馆组建行业组织，促进行业自律与健康发展。</w:t>
            </w:r>
          </w:p>
          <w:p w14:paraId="292555A4"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第二十三条  民办博物馆应依法收藏、妥善保管文物，建立、健全藏品收藏、保护、研究、展示等相关规章制度。</w:t>
            </w:r>
          </w:p>
          <w:p w14:paraId="18533ED6"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lastRenderedPageBreak/>
              <w:t>第二十四条  民办博物馆应接受市文物行政部门的指导、监督，应按时向文物行政部门报送上一年度工作报告。工作报告内容应当包括有关法律和其它规定的执行情况，藏品、展览、人员和机构的变动情况以及社会教育、安全等情况。</w:t>
            </w:r>
          </w:p>
          <w:p w14:paraId="4C9E4B71"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第二十五条  市文物行政部门会同有关部门定期或不定期对民办博物馆的经费使用和业务开展情况进行监督、检查和考评。考评结果列入民办博物馆获得相关支持的衡量标准。对有提供虚假申报材料等违反国家法律法规和本办法规定行为的民办博物馆，在五年内取消其补贴申请资格，并依法追究有关单位和个人的责任。</w:t>
            </w:r>
          </w:p>
          <w:p w14:paraId="6FC114A0" w14:textId="77777777" w:rsidR="00A179AA" w:rsidRPr="00A179AA" w:rsidRDefault="00A179AA" w:rsidP="00A179AA">
            <w:pPr>
              <w:widowControl/>
              <w:spacing w:line="375" w:lineRule="atLeast"/>
              <w:ind w:firstLine="480"/>
              <w:jc w:val="center"/>
              <w:rPr>
                <w:rFonts w:ascii="微软雅黑" w:eastAsia="微软雅黑" w:hAnsi="微软雅黑" w:cs="宋体" w:hint="eastAsia"/>
                <w:color w:val="000000"/>
                <w:kern w:val="0"/>
                <w:szCs w:val="21"/>
              </w:rPr>
            </w:pPr>
          </w:p>
          <w:p w14:paraId="5D413183" w14:textId="77777777" w:rsidR="00A179AA" w:rsidRPr="00A179AA" w:rsidRDefault="00A179AA" w:rsidP="00A179AA">
            <w:pPr>
              <w:widowControl/>
              <w:spacing w:line="375" w:lineRule="atLeast"/>
              <w:ind w:firstLine="480"/>
              <w:jc w:val="center"/>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第七章  附则</w:t>
            </w:r>
          </w:p>
          <w:p w14:paraId="2915644E"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第二十六条 本暂行办法由市文化新闻出版广电局负责解释。</w:t>
            </w:r>
          </w:p>
          <w:p w14:paraId="34B5C586" w14:textId="77777777" w:rsidR="00A179AA" w:rsidRPr="00A179AA" w:rsidRDefault="00A179AA" w:rsidP="00A179AA">
            <w:pPr>
              <w:widowControl/>
              <w:spacing w:line="375" w:lineRule="atLeast"/>
              <w:ind w:firstLine="480"/>
              <w:jc w:val="left"/>
              <w:rPr>
                <w:rFonts w:ascii="微软雅黑" w:eastAsia="微软雅黑" w:hAnsi="微软雅黑" w:cs="宋体" w:hint="eastAsia"/>
                <w:color w:val="000000"/>
                <w:kern w:val="0"/>
                <w:szCs w:val="21"/>
              </w:rPr>
            </w:pPr>
            <w:r w:rsidRPr="00A179AA">
              <w:rPr>
                <w:rFonts w:ascii="微软雅黑" w:eastAsia="微软雅黑" w:hAnsi="微软雅黑" w:cs="宋体" w:hint="eastAsia"/>
                <w:color w:val="000000"/>
                <w:kern w:val="0"/>
                <w:szCs w:val="21"/>
              </w:rPr>
              <w:t>第二十七条 本暂行办法自印发之日起实施。</w:t>
            </w:r>
          </w:p>
        </w:tc>
      </w:tr>
    </w:tbl>
    <w:p w14:paraId="0B26571F" w14:textId="77777777" w:rsidR="00744180" w:rsidRPr="00A179AA" w:rsidRDefault="00744180"/>
    <w:sectPr w:rsidR="00744180" w:rsidRPr="00A179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D4155" w14:textId="77777777" w:rsidR="004D62A6" w:rsidRDefault="004D62A6" w:rsidP="00A179AA">
      <w:r>
        <w:separator/>
      </w:r>
    </w:p>
  </w:endnote>
  <w:endnote w:type="continuationSeparator" w:id="0">
    <w:p w14:paraId="18C35D8D" w14:textId="77777777" w:rsidR="004D62A6" w:rsidRDefault="004D62A6" w:rsidP="00A1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515A7" w14:textId="77777777" w:rsidR="004D62A6" w:rsidRDefault="004D62A6" w:rsidP="00A179AA">
      <w:r>
        <w:separator/>
      </w:r>
    </w:p>
  </w:footnote>
  <w:footnote w:type="continuationSeparator" w:id="0">
    <w:p w14:paraId="59FA60D8" w14:textId="77777777" w:rsidR="004D62A6" w:rsidRDefault="004D62A6" w:rsidP="00A17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CF"/>
    <w:rsid w:val="004D62A6"/>
    <w:rsid w:val="00744180"/>
    <w:rsid w:val="00A179AA"/>
    <w:rsid w:val="00E8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E1F335-4E0F-421A-A296-B2888DC9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9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79AA"/>
    <w:rPr>
      <w:sz w:val="18"/>
      <w:szCs w:val="18"/>
    </w:rPr>
  </w:style>
  <w:style w:type="paragraph" w:styleId="a5">
    <w:name w:val="footer"/>
    <w:basedOn w:val="a"/>
    <w:link w:val="a6"/>
    <w:uiPriority w:val="99"/>
    <w:unhideWhenUsed/>
    <w:rsid w:val="00A179AA"/>
    <w:pPr>
      <w:tabs>
        <w:tab w:val="center" w:pos="4153"/>
        <w:tab w:val="right" w:pos="8306"/>
      </w:tabs>
      <w:snapToGrid w:val="0"/>
      <w:jc w:val="left"/>
    </w:pPr>
    <w:rPr>
      <w:sz w:val="18"/>
      <w:szCs w:val="18"/>
    </w:rPr>
  </w:style>
  <w:style w:type="character" w:customStyle="1" w:styleId="a6">
    <w:name w:val="页脚 字符"/>
    <w:basedOn w:val="a0"/>
    <w:link w:val="a5"/>
    <w:uiPriority w:val="99"/>
    <w:rsid w:val="00A179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656943">
      <w:bodyDiv w:val="1"/>
      <w:marLeft w:val="0"/>
      <w:marRight w:val="0"/>
      <w:marTop w:val="0"/>
      <w:marBottom w:val="0"/>
      <w:divBdr>
        <w:top w:val="none" w:sz="0" w:space="0" w:color="auto"/>
        <w:left w:val="none" w:sz="0" w:space="0" w:color="auto"/>
        <w:bottom w:val="none" w:sz="0" w:space="0" w:color="auto"/>
        <w:right w:val="none" w:sz="0" w:space="0" w:color="auto"/>
      </w:divBdr>
      <w:divsChild>
        <w:div w:id="1081832066">
          <w:marLeft w:val="0"/>
          <w:marRight w:val="0"/>
          <w:marTop w:val="0"/>
          <w:marBottom w:val="0"/>
          <w:divBdr>
            <w:top w:val="none" w:sz="0" w:space="0" w:color="auto"/>
            <w:left w:val="none" w:sz="0" w:space="0" w:color="auto"/>
            <w:bottom w:val="single" w:sz="6" w:space="15" w:color="D2D2D2"/>
            <w:right w:val="none" w:sz="0" w:space="0" w:color="auto"/>
          </w:divBdr>
        </w:div>
        <w:div w:id="61618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2019-01-08T08:14:00Z</dcterms:created>
  <dcterms:modified xsi:type="dcterms:W3CDTF">2019-01-08T08:14:00Z</dcterms:modified>
</cp:coreProperties>
</file>