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45B82" w:rsidRPr="00B45B82" w:rsidRDefault="00B45B82" w:rsidP="00B45B82">
      <w:pPr>
        <w:widowControl/>
        <w:spacing w:line="750" w:lineRule="atLeast"/>
        <w:jc w:val="left"/>
        <w:rPr>
          <w:rFonts w:ascii="微软雅黑" w:eastAsia="微软雅黑" w:hAnsi="微软雅黑" w:cs="宋体"/>
          <w:color w:val="DF3A39"/>
          <w:kern w:val="0"/>
          <w:szCs w:val="21"/>
        </w:rPr>
      </w:pPr>
      <w:r w:rsidRPr="00B45B82">
        <w:rPr>
          <w:rFonts w:ascii="微软雅黑" w:eastAsia="微软雅黑" w:hAnsi="微软雅黑" w:cs="宋体" w:hint="eastAsia"/>
          <w:color w:val="DF3A39"/>
          <w:kern w:val="0"/>
          <w:sz w:val="36"/>
          <w:szCs w:val="36"/>
          <w:bdr w:val="none" w:sz="0" w:space="0" w:color="auto" w:frame="1"/>
        </w:rPr>
        <w:t>关于印发《斗门区落实民营经济发展若干措施实施办法》的通知</w:t>
      </w:r>
    </w:p>
    <w:p w:rsidR="00B45B82" w:rsidRPr="00B45B82" w:rsidRDefault="00B45B82" w:rsidP="00B45B82">
      <w:pPr>
        <w:widowControl/>
        <w:numPr>
          <w:ilvl w:val="0"/>
          <w:numId w:val="1"/>
        </w:numPr>
        <w:spacing w:line="525" w:lineRule="atLeast"/>
        <w:ind w:left="0" w:right="1185"/>
        <w:jc w:val="left"/>
        <w:rPr>
          <w:rFonts w:ascii="微软雅黑" w:eastAsia="微软雅黑" w:hAnsi="微软雅黑" w:cs="宋体" w:hint="eastAsia"/>
          <w:color w:val="9E9E9E"/>
          <w:kern w:val="0"/>
          <w:szCs w:val="21"/>
        </w:rPr>
      </w:pPr>
      <w:r w:rsidRPr="00B45B82">
        <w:rPr>
          <w:rFonts w:ascii="微软雅黑" w:eastAsia="微软雅黑" w:hAnsi="微软雅黑" w:cs="宋体" w:hint="eastAsia"/>
          <w:color w:val="9E9E9E"/>
          <w:kern w:val="0"/>
          <w:szCs w:val="21"/>
        </w:rPr>
        <w:t>2016-10-21 00:00</w:t>
      </w:r>
    </w:p>
    <w:p w:rsidR="00B45B82" w:rsidRPr="00B45B82" w:rsidRDefault="00B45B82" w:rsidP="00B45B82">
      <w:pPr>
        <w:widowControl/>
        <w:numPr>
          <w:ilvl w:val="0"/>
          <w:numId w:val="1"/>
        </w:numPr>
        <w:spacing w:line="525" w:lineRule="atLeast"/>
        <w:ind w:left="0" w:right="1185"/>
        <w:jc w:val="left"/>
        <w:rPr>
          <w:rFonts w:ascii="微软雅黑" w:eastAsia="微软雅黑" w:hAnsi="微软雅黑" w:cs="宋体" w:hint="eastAsia"/>
          <w:color w:val="9E9E9E"/>
          <w:kern w:val="0"/>
          <w:szCs w:val="21"/>
        </w:rPr>
      </w:pPr>
      <w:r w:rsidRPr="00B45B82">
        <w:rPr>
          <w:rFonts w:ascii="微软雅黑" w:eastAsia="微软雅黑" w:hAnsi="微软雅黑" w:cs="宋体" w:hint="eastAsia"/>
          <w:color w:val="9E9E9E"/>
          <w:kern w:val="0"/>
          <w:szCs w:val="21"/>
        </w:rPr>
        <w:t>来源： </w:t>
      </w:r>
      <w:r w:rsidRPr="00B45B82">
        <w:rPr>
          <w:rFonts w:ascii="微软雅黑" w:eastAsia="微软雅黑" w:hAnsi="微软雅黑" w:cs="宋体" w:hint="eastAsia"/>
          <w:color w:val="9E9E9E"/>
          <w:kern w:val="0"/>
          <w:szCs w:val="21"/>
          <w:bdr w:val="none" w:sz="0" w:space="0" w:color="auto" w:frame="1"/>
        </w:rPr>
        <w:t>斗门区政府办公室</w:t>
      </w:r>
    </w:p>
    <w:p w:rsidR="00B45B82" w:rsidRPr="00B45B82" w:rsidRDefault="00B45B82" w:rsidP="00B45B82">
      <w:pPr>
        <w:widowControl/>
        <w:numPr>
          <w:ilvl w:val="0"/>
          <w:numId w:val="1"/>
        </w:numPr>
        <w:spacing w:line="525" w:lineRule="atLeast"/>
        <w:ind w:left="0" w:right="1185"/>
        <w:jc w:val="left"/>
        <w:rPr>
          <w:rFonts w:ascii="微软雅黑" w:eastAsia="微软雅黑" w:hAnsi="微软雅黑" w:cs="宋体" w:hint="eastAsia"/>
          <w:color w:val="9E9E9E"/>
          <w:kern w:val="0"/>
          <w:szCs w:val="21"/>
        </w:rPr>
      </w:pPr>
      <w:r w:rsidRPr="00B45B82">
        <w:rPr>
          <w:rFonts w:ascii="微软雅黑" w:eastAsia="微软雅黑" w:hAnsi="微软雅黑" w:cs="宋体" w:hint="eastAsia"/>
          <w:color w:val="9E9E9E"/>
          <w:kern w:val="0"/>
          <w:szCs w:val="21"/>
        </w:rPr>
        <w:t>发布机构： </w:t>
      </w:r>
      <w:r w:rsidRPr="00B45B82">
        <w:rPr>
          <w:rFonts w:ascii="微软雅黑" w:eastAsia="微软雅黑" w:hAnsi="微软雅黑" w:cs="宋体" w:hint="eastAsia"/>
          <w:color w:val="9E9E9E"/>
          <w:kern w:val="0"/>
          <w:szCs w:val="21"/>
          <w:bdr w:val="none" w:sz="0" w:space="0" w:color="auto" w:frame="1"/>
        </w:rPr>
        <w:t>区政府办公室</w:t>
      </w:r>
    </w:p>
    <w:p w:rsidR="00B45B82" w:rsidRPr="00B45B82" w:rsidRDefault="00B45B82" w:rsidP="00B45B82">
      <w:pPr>
        <w:widowControl/>
        <w:numPr>
          <w:ilvl w:val="0"/>
          <w:numId w:val="1"/>
        </w:numPr>
        <w:spacing w:beforeAutospacing="1" w:afterAutospacing="1" w:line="525" w:lineRule="atLeast"/>
        <w:ind w:left="0" w:right="1185"/>
        <w:jc w:val="left"/>
        <w:rPr>
          <w:rFonts w:ascii="微软雅黑" w:eastAsia="微软雅黑" w:hAnsi="微软雅黑" w:cs="宋体" w:hint="eastAsia"/>
          <w:color w:val="9E9E9E"/>
          <w:kern w:val="0"/>
          <w:szCs w:val="21"/>
        </w:rPr>
      </w:pPr>
      <w:r w:rsidRPr="00B45B82">
        <w:rPr>
          <w:rFonts w:ascii="微软雅黑" w:eastAsia="微软雅黑" w:hAnsi="微软雅黑" w:cs="宋体" w:hint="eastAsia"/>
          <w:color w:val="9E9E9E"/>
          <w:kern w:val="0"/>
          <w:szCs w:val="21"/>
        </w:rPr>
        <w:t>【字体： 大  </w:t>
      </w:r>
      <w:hyperlink r:id="rId5" w:history="1">
        <w:r w:rsidRPr="00B45B82">
          <w:rPr>
            <w:rFonts w:ascii="微软雅黑" w:eastAsia="微软雅黑" w:hAnsi="微软雅黑" w:cs="宋体" w:hint="eastAsia"/>
            <w:color w:val="9E9E9E"/>
            <w:kern w:val="0"/>
            <w:szCs w:val="21"/>
            <w:bdr w:val="none" w:sz="0" w:space="0" w:color="auto" w:frame="1"/>
          </w:rPr>
          <w:t>中</w:t>
        </w:r>
      </w:hyperlink>
      <w:r w:rsidRPr="00B45B82">
        <w:rPr>
          <w:rFonts w:ascii="微软雅黑" w:eastAsia="微软雅黑" w:hAnsi="微软雅黑" w:cs="宋体" w:hint="eastAsia"/>
          <w:color w:val="9E9E9E"/>
          <w:kern w:val="0"/>
          <w:szCs w:val="21"/>
        </w:rPr>
        <w:t>  </w:t>
      </w:r>
      <w:hyperlink r:id="rId6" w:history="1">
        <w:r w:rsidRPr="00B45B82">
          <w:rPr>
            <w:rFonts w:ascii="微软雅黑" w:eastAsia="微软雅黑" w:hAnsi="微软雅黑" w:cs="宋体" w:hint="eastAsia"/>
            <w:color w:val="9E9E9E"/>
            <w:kern w:val="0"/>
            <w:szCs w:val="21"/>
            <w:bdr w:val="none" w:sz="0" w:space="0" w:color="auto" w:frame="1"/>
          </w:rPr>
          <w:t>小</w:t>
        </w:r>
      </w:hyperlink>
      <w:r w:rsidRPr="00B45B82">
        <w:rPr>
          <w:rFonts w:ascii="微软雅黑" w:eastAsia="微软雅黑" w:hAnsi="微软雅黑" w:cs="宋体" w:hint="eastAsia"/>
          <w:color w:val="9E9E9E"/>
          <w:kern w:val="0"/>
          <w:szCs w:val="21"/>
        </w:rPr>
        <w:t>】</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各镇政府，白藤街道办，区政府直属各单位：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 xml:space="preserve">　　《斗门区落实民营经济发展若干措施实施办法》已经区政府同意，现印发给你们，请认真贯彻执行。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 xml:space="preserve">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 xml:space="preserve">　　</w:t>
      </w:r>
    </w:p>
    <w:p w:rsidR="00B45B82" w:rsidRPr="00B45B82" w:rsidRDefault="00B45B82" w:rsidP="00B45B82">
      <w:pPr>
        <w:widowControl/>
        <w:spacing w:line="480" w:lineRule="atLeast"/>
        <w:jc w:val="righ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 xml:space="preserve">　　珠海市斗门区人民政府办公室　　　　 　</w:t>
      </w:r>
    </w:p>
    <w:p w:rsidR="00B45B82" w:rsidRPr="00B45B82" w:rsidRDefault="00B45B82" w:rsidP="00B45B82">
      <w:pPr>
        <w:widowControl/>
        <w:spacing w:line="480" w:lineRule="atLeast"/>
        <w:jc w:val="righ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 xml:space="preserve">　　 2016年10月21日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 xml:space="preserve">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 xml:space="preserve">　　</w:t>
      </w:r>
    </w:p>
    <w:p w:rsidR="00B45B82" w:rsidRPr="00B45B82" w:rsidRDefault="00B45B82" w:rsidP="00B45B82">
      <w:pPr>
        <w:widowControl/>
        <w:spacing w:line="480" w:lineRule="atLeast"/>
        <w:jc w:val="center"/>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44"/>
          <w:szCs w:val="44"/>
        </w:rPr>
        <w:t>斗门区落实民营经济发展若干措施实施办法</w:t>
      </w:r>
      <w:r w:rsidRPr="00B45B82">
        <w:rPr>
          <w:rFonts w:ascii="微软雅黑" w:eastAsia="微软雅黑" w:hAnsi="微软雅黑" w:cs="宋体" w:hint="eastAsia"/>
          <w:color w:val="535353"/>
          <w:kern w:val="0"/>
          <w:sz w:val="23"/>
          <w:szCs w:val="23"/>
        </w:rPr>
        <w:t>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 xml:space="preserve">　　为进一步促进我区民营经济发展，充分发挥市、区两级财政资金的引导作用，推动我区民营企业创新发展、做大做强，按照《珠海市人民政府加快民营经济发展</w:t>
      </w:r>
      <w:r w:rsidRPr="00B45B82">
        <w:rPr>
          <w:rFonts w:ascii="微软雅黑" w:eastAsia="微软雅黑" w:hAnsi="微软雅黑" w:cs="宋体" w:hint="eastAsia"/>
          <w:color w:val="535353"/>
          <w:kern w:val="0"/>
          <w:sz w:val="23"/>
          <w:szCs w:val="23"/>
        </w:rPr>
        <w:lastRenderedPageBreak/>
        <w:t>的若干措施》（珠府[2016]77号）的要求，结合我区扶持发展民营经济措施，制定本实施办法。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 xml:space="preserve">　　一、扶持对象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 xml:space="preserve">　　本办法扶持对象为在珠海市斗门区行政区域范围内依法设立，在斗门区税务部门办理汇算清缴的民营经济组织，为民营经济组织提供专业化服务的中介机构、社会组织。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 xml:space="preserve">　　本办法所称民营经济，是指按《珠海经济特区民营经济促进条例》所规定，除国有独资、国有控股、外资独资、外资控股之外的经济形式。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 xml:space="preserve">　　二、扶持内容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 xml:space="preserve">　　（一）落实市民营经济政策部分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 xml:space="preserve">　　1、支持民营企业建立研发机构。对民营工业企业新建立市级以上工程中心和企业技术中心给予支持，经认定为国家级、省级和市级分别给予最高800万、200万和50万元的财政补贴，用于支持企业购置研发、检测设备。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 xml:space="preserve">　　2、支持民营企业科研开发。对研发投入超过全市研发投入平均水平的民营中小微企业给予研发费用补贴，对超出平均水平50%以下的、50%至100%的、100%以上的，分别给予最高3万元、5万元和10万元的补贴。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 xml:space="preserve">　　3、支持民营企业增强技术创新转化能力。对经市认定的民营企业（中小企业）创新产业化示范基地企业予以一次性补助，最高不超过50万元。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 xml:space="preserve">　　4、支持首台（套）重大技术装备使用。企业对经省级以上有关部门认定为省内或国内的首台（套）重大技术装备投保的，最高给予保费80%补贴，不超过150万元。企业购买本地工作母机企业产品用于技术改造或增资扩产，按不超过购买价格的30%给予一次性补助，单个项目最高500万元。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lastRenderedPageBreak/>
        <w:t xml:space="preserve">　　5、支持民营企业提升工业设计水平。提升工业设计创新能力，对获得红点奖、IF奖、中国优秀工业设计奖的给予一定奖励。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 xml:space="preserve">　　6、支持企业参加创新创业大赛。对上年度获得中国创新创业大赛一等奖、二等奖、三等奖和优秀企业称号的企业，分别给予60万元、50万元、40万元、5万元奖励。对上年度中国创新创业大赛、中国创翼青年创业创新大赛、广东省“众创杯”创业创新大赛获奖的企业，按照广东省的补贴标准，按1:1的比例给予配套奖励。对上年度获得珠海市创新创业大赛一等奖、二等奖、三等奖的企业分别给予50万元、30万元、20万元奖励，获得其他称号的企业奖励5万元。国家、省、市创新创业大赛的获奖团队，自获奖后一年内在我区注册成立企业的，可按照参赛当年企业奖励标准给予奖励。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 xml:space="preserve">　　7、支持民营工业企业壮大规模。对营业收入首次超过10亿元、50亿元、100亿元的民营工业企业分别给予最高50万元、100万元和200万元奖励；对首次入评“中国民营500强”的企业给予最高300万元奖励。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 xml:space="preserve">　　8、推进民营企业兼并重组。鼓励民营企业通过企业联盟、产业基金并购、上市并购等多种途径开展兼并重组做大做强。对非关联企业兼并重组项目，最高给予标的额5%资助，单个项目不超过300万元；对关联企业项目，最高给予新增净资产的1%资助，单个项目不超过200万元。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 xml:space="preserve">　　9、实施品牌发展道路。对民营企业的商标首次获得“中国驰名商标”、“广东省著名商标”称号的，对民营企业生产的产品或服务业类产品首次获得“广东省名牌产品”称号的，除了由市财政分别给予最高100万元、50万元、50万元的奖励，区财政另外给予20%的配套奖励。对民营企业导入卓越绩效模式并有效运行，积极参与珠海市市长质量奖的，给予一次性补助资金8万元；对获得测量管理</w:t>
      </w:r>
      <w:r w:rsidRPr="00B45B82">
        <w:rPr>
          <w:rFonts w:ascii="微软雅黑" w:eastAsia="微软雅黑" w:hAnsi="微软雅黑" w:cs="宋体" w:hint="eastAsia"/>
          <w:color w:val="535353"/>
          <w:kern w:val="0"/>
          <w:sz w:val="23"/>
          <w:szCs w:val="23"/>
        </w:rPr>
        <w:lastRenderedPageBreak/>
        <w:t>体系认证证书的企业，每家奖励10万元，对获得二级计量保证体系确认证书的企业，每家奖励5万元。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 xml:space="preserve">　　10、鼓励转企上规上限。对个体户转为企业后实现上规上限的，按企业实缴注册资金总额给予不超过10%，最高不超过100万元的资助。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 xml:space="preserve">　　11、进一步完善工业园区配套建设。加大工业园区配套设施建设，建立人才公寓综合体。到2016年底，公交线路基本做到园区道路全覆盖。到2017年底，每个工业园区要配套人才公寓综合体，并逐步配套完善教育、医疗、众创空间等公共设施。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 xml:space="preserve">　　（二）区级扶持措施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 xml:space="preserve">　　1、加快科技创新平台建设。支持具备条件的民营科技型企业引进建设与我区重点产业相契合的院士工作站。经认定为国家级、省级的分别给予最高100万元和50万元的科研经费资助。对于经省科技行政主管部门批准设立的有效期内企业院士工作站，给予企业每年30万元的运营补贴。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 xml:space="preserve">　　2、加强创业创新载体建设。鼓励社会资本利用闲置厂房、场地，规划建设创业创新基地，为初创企业、小微企业提供创业创新培训、项目策划、技术支持、融资担保、商务代理等服务。鼓励针对我区农民、失业人员等各种不同的创业群体，建设有针对性有特色的创业创新平台。对获得市级及以上认定的创业创新平台，区财政按就高不重复原则，以1：0.5比例进行配套奖励。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 xml:space="preserve">　　3、落实区优秀民营企业认定机制。每两年开展斗门区优秀民营企业和优秀民营企业家的认定工作，区财政安排专项资金给予奖补，激励全区民营企业提高自身综合素质，推动民营经济持续健康快速发展。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lastRenderedPageBreak/>
        <w:t xml:space="preserve">　　4、实施民营小微企业服务补贴制度。给予民营小微企业服务补贴券，用于购买财税、法律、互联网+、招聘工商代理、管理诊断、检验检测等服务。服务券有效期一年，每家企业每年申领和使用补贴券的最高限额为3000元，优先支持创办三年以内的小微企业。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 xml:space="preserve">　　5、着力解决民营企业融资难题。积极推进建立区属政策性融资担保机构，根据市场化运作规律向我区中小微企业提供融资性担保业务，并给予一定的政策性扶持。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 xml:space="preserve">　　6、支持市场推广。每年组织民营企业参加全市重点民营骨干企业产品展示和采购交易会，提升产品市场占用率和品牌影响力。各政府性投资和国有企业投资的项目，在同等条件下优先采购由我区民营企业生产、销售的产品。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 xml:space="preserve">　　7、完善人才政策支持体系。加大对民营企业发展所需的各级人才的政策扶持力度。每年组织两次以上的企业人才、劳务招聘会，帮助民营企业解决人才和用工需求。依托区各公共就业人才服务机构，为民营企业和就业者提供用工就业信息咨询、项目推介、就业指导等“一站式”就业服务。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 xml:space="preserve">　　8、开展各类培训，促进民营企业素质提升。每年协调安排部分民营企业家参加全市组织的系统进修培训。区人社等职能部门应加大对民营经济组织的各类培训活动力度，每年至少开展一次以上的专题知识、技能培训。各级人力资源和社会保障部门要为小微企业、初创企业、创业者提供各种层次的创业培训课程和创业辅导服务。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 xml:space="preserve">　　9、加强各类服务民营企业的商协会、行业协会建设，鼓励商协会、行业协会为民营企业、中小微企业在信息交流、项目合作、政企沟通、校企对接等方面提供</w:t>
      </w:r>
      <w:r w:rsidRPr="00B45B82">
        <w:rPr>
          <w:rFonts w:ascii="微软雅黑" w:eastAsia="微软雅黑" w:hAnsi="微软雅黑" w:cs="宋体" w:hint="eastAsia"/>
          <w:color w:val="535353"/>
          <w:kern w:val="0"/>
          <w:sz w:val="23"/>
          <w:szCs w:val="23"/>
        </w:rPr>
        <w:lastRenderedPageBreak/>
        <w:t>服务。区政府可通过购买服务等方式委托商协会、行业协会、专业机构等为民营经济组织提供服务。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 xml:space="preserve">　　三、扶持资金申报程序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 xml:space="preserve">　　（一）区科工信局公布民营经济专项资金项目申报通知。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 xml:space="preserve">　　（二）项目申报单位按照通知文件要求，做好申报资料的编写和证明材料的收集工作。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 xml:space="preserve">　　（三）对于市转移支付类资金，项目申报单位需在规定时限内登录珠海市“财政专项资金申报和管理平台”进行网上申报，经初审符合申报条件的项目报送纸质资料至区科工信局。对于区扶持类资金，项目申报单位可在区科工信局网站下载项目申请书，填报后在规定时限内报送区科工信局审核。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 xml:space="preserve">　　（四）区科工信局对符合条件的项目组织相关职能部门或第三方服务机构开展评审，根据评审结果和当年财政资金实际情况制定资金安排计划。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 xml:space="preserve">　　（五）区科工信局对拟支持项目进行网上公示。公示期结束，对无异议的项目，报区政府审批。对有异议的项目，区科工信局联合相关部门核查情况，情况属实，取消该申报单位财政资金支持资格。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 xml:space="preserve">　　（六）区政府审批后，由区科工信局和区财政局联合下达专项资金计划，项目申报单位配合完成资金拨付手续。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 xml:space="preserve">　　（七）项目申报单位收到财政资金后，应按国家有关制度进行会计处理。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 xml:space="preserve">　　四、工作要求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 xml:space="preserve">　　（一）健全工作机制。建立区领导、各职能部门定期召开中小微企业座谈会工作机制。落实区、镇（街）、园区领导挂点服务企业制度，帮助企业解决发展难题。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lastRenderedPageBreak/>
        <w:t xml:space="preserve">　　（二）加大责任落实。各责任单位和相关职能部门要高度重视，明确职责，进一步加大对本实施办法的落实力度，加强对民营经济组织的服务和扶持，积极营造促进全区民营经济发展的良好氛围。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 xml:space="preserve">　　（三）加强统计和调研。区统计、税务、人社、工商和民营经济管理部门联动，加强民营经济统计工作，建立和完善民营经济指标体系。区财政安排资金开展民营经济和中小微企业专题调研和课题研究。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 xml:space="preserve">　　五、其他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 xml:space="preserve">　　（一）扶持资金接受区相关部门的监督检查和社会监督，各有关单位应如实申报。对于编制虚假材料骗取资金的，区有权追缴已拨付的资金，并依法追究相关法律责任。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 xml:space="preserve">　　（二）本办法由斗门区科技和工业信息化局负责解释。 </w:t>
      </w:r>
    </w:p>
    <w:p w:rsidR="00B45B82" w:rsidRPr="00B45B82" w:rsidRDefault="00B45B82" w:rsidP="00B45B82">
      <w:pPr>
        <w:widowControl/>
        <w:spacing w:line="480" w:lineRule="atLeast"/>
        <w:jc w:val="left"/>
        <w:rPr>
          <w:rFonts w:ascii="微软雅黑" w:eastAsia="微软雅黑" w:hAnsi="微软雅黑" w:cs="宋体" w:hint="eastAsia"/>
          <w:color w:val="535353"/>
          <w:kern w:val="0"/>
          <w:sz w:val="23"/>
          <w:szCs w:val="23"/>
        </w:rPr>
      </w:pPr>
      <w:r w:rsidRPr="00B45B82">
        <w:rPr>
          <w:rFonts w:ascii="微软雅黑" w:eastAsia="微软雅黑" w:hAnsi="微软雅黑" w:cs="宋体" w:hint="eastAsia"/>
          <w:color w:val="535353"/>
          <w:kern w:val="0"/>
          <w:sz w:val="23"/>
          <w:szCs w:val="23"/>
        </w:rPr>
        <w:t xml:space="preserve">　　（三）本办法自颁布之日起实施，有效期至2019年12月31日。若国家政策有重大调整或另有规定的，将予以相应调整。</w:t>
      </w:r>
    </w:p>
    <w:p w:rsidR="00663287" w:rsidRDefault="00663287">
      <w:bookmarkStart w:id="0" w:name="_GoBack"/>
      <w:bookmarkEnd w:id="0"/>
    </w:p>
    <w:sectPr w:rsidR="00663287">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微软雅黑">
    <w:panose1 w:val="020B0503020204020204"/>
    <w:charset w:val="86"/>
    <w:family w:val="swiss"/>
    <w:pitch w:val="variable"/>
    <w:sig w:usb0="80000287" w:usb1="2ACF3C50" w:usb2="00000016" w:usb3="00000000" w:csb0="0004001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67113DBD"/>
    <w:multiLevelType w:val="multilevel"/>
    <w:tmpl w:val="6E02D2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E7085"/>
    <w:rsid w:val="003E7085"/>
    <w:rsid w:val="00663287"/>
    <w:rsid w:val="00B45B82"/>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9CB1654-FE7E-46D4-B485-C341807B397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B45B82"/>
    <w:rPr>
      <w:color w:val="0000FF"/>
      <w:u w:val="single"/>
    </w:rPr>
  </w:style>
  <w:style w:type="paragraph" w:styleId="a4">
    <w:name w:val="Normal (Web)"/>
    <w:basedOn w:val="a"/>
    <w:uiPriority w:val="99"/>
    <w:semiHidden/>
    <w:unhideWhenUsed/>
    <w:rsid w:val="00B45B82"/>
    <w:pPr>
      <w:widowControl/>
      <w:spacing w:before="100" w:beforeAutospacing="1" w:after="100" w:afterAutospacing="1"/>
      <w:jc w:val="left"/>
    </w:pPr>
    <w:rPr>
      <w:rFonts w:ascii="宋体" w:eastAsia="宋体" w:hAnsi="宋体" w:cs="宋体"/>
      <w:kern w:val="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358391197">
      <w:bodyDiv w:val="1"/>
      <w:marLeft w:val="0"/>
      <w:marRight w:val="0"/>
      <w:marTop w:val="0"/>
      <w:marBottom w:val="0"/>
      <w:divBdr>
        <w:top w:val="none" w:sz="0" w:space="0" w:color="auto"/>
        <w:left w:val="none" w:sz="0" w:space="0" w:color="auto"/>
        <w:bottom w:val="none" w:sz="0" w:space="0" w:color="auto"/>
        <w:right w:val="none" w:sz="0" w:space="0" w:color="auto"/>
      </w:divBdr>
      <w:divsChild>
        <w:div w:id="1200899496">
          <w:marLeft w:val="0"/>
          <w:marRight w:val="0"/>
          <w:marTop w:val="0"/>
          <w:marBottom w:val="0"/>
          <w:divBdr>
            <w:top w:val="none" w:sz="0" w:space="0" w:color="auto"/>
            <w:left w:val="none" w:sz="0" w:space="0" w:color="auto"/>
            <w:bottom w:val="none" w:sz="0" w:space="0" w:color="auto"/>
            <w:right w:val="none" w:sz="0" w:space="0" w:color="auto"/>
          </w:divBdr>
        </w:div>
        <w:div w:id="1232617468">
          <w:marLeft w:val="0"/>
          <w:marRight w:val="0"/>
          <w:marTop w:val="0"/>
          <w:marBottom w:val="0"/>
          <w:divBdr>
            <w:top w:val="none" w:sz="0" w:space="0" w:color="auto"/>
            <w:left w:val="none" w:sz="0" w:space="0" w:color="auto"/>
            <w:bottom w:val="single" w:sz="6" w:space="8" w:color="E5E5E5"/>
            <w:right w:val="none" w:sz="0" w:space="0" w:color="auto"/>
          </w:divBdr>
          <w:divsChild>
            <w:div w:id="441388952">
              <w:marLeft w:val="0"/>
              <w:marRight w:val="0"/>
              <w:marTop w:val="0"/>
              <w:marBottom w:val="0"/>
              <w:divBdr>
                <w:top w:val="none" w:sz="0" w:space="0" w:color="auto"/>
                <w:left w:val="none" w:sz="0" w:space="0" w:color="auto"/>
                <w:bottom w:val="none" w:sz="0" w:space="0" w:color="auto"/>
                <w:right w:val="none" w:sz="0" w:space="0" w:color="auto"/>
              </w:divBdr>
            </w:div>
          </w:divsChild>
        </w:div>
        <w:div w:id="91370955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zwgk.doumen.gov.cn/dmzwgk/0202/201610/dfda9c9c2d3f4be0847a9af80bf7588d.shtml" TargetMode="External"/><Relationship Id="rId5" Type="http://schemas.openxmlformats.org/officeDocument/2006/relationships/hyperlink" Target="http://zwgk.doumen.gov.cn/dmzwgk/0202/201610/dfda9c9c2d3f4be0847a9af80bf7588d.shtml" TargetMode="Externa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7</Pages>
  <Words>617</Words>
  <Characters>3523</Characters>
  <Application>Microsoft Office Word</Application>
  <DocSecurity>0</DocSecurity>
  <Lines>29</Lines>
  <Paragraphs>8</Paragraphs>
  <ScaleCrop>false</ScaleCrop>
  <Company>微软中国</Company>
  <LinksUpToDate>false</LinksUpToDate>
  <CharactersWithSpaces>4132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个人用户</dc:creator>
  <cp:keywords/>
  <dc:description/>
  <cp:lastModifiedBy>个人用户</cp:lastModifiedBy>
  <cp:revision>2</cp:revision>
  <dcterms:created xsi:type="dcterms:W3CDTF">2018-11-15T07:56:00Z</dcterms:created>
  <dcterms:modified xsi:type="dcterms:W3CDTF">2018-11-15T07:56:00Z</dcterms:modified>
</cp:coreProperties>
</file>