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jc w:val="center"/>
        <w:rPr>
          <w:rFonts w:ascii="微软雅黑" w:hAnsi="微软雅黑" w:eastAsia="微软雅黑" w:cs="微软雅黑"/>
          <w:color w:val="E43333"/>
          <w:sz w:val="36"/>
          <w:szCs w:val="36"/>
        </w:rPr>
      </w:pPr>
      <w:r>
        <w:rPr>
          <w:rFonts w:hint="eastAsia" w:ascii="微软雅黑" w:hAnsi="微软雅黑" w:eastAsia="微软雅黑" w:cs="微软雅黑"/>
          <w:i w:val="0"/>
          <w:caps w:val="0"/>
          <w:color w:val="E43333"/>
          <w:spacing w:val="0"/>
          <w:sz w:val="36"/>
          <w:szCs w:val="36"/>
          <w:bdr w:val="none" w:color="auto" w:sz="0" w:space="0"/>
        </w:rPr>
        <w:t>贵州省促进外商投资总部经济发展的鼓励政策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来源：红花岗政府办   发布日期：2018-04-28 09:31:30  浏览次数：   文章字号: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大</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中</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小</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"http://www.zyhhg.gov.cn/doc/2018/04/28/108623.shtml" \o "分享到QQ空间"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"http://www.zyhhg.gov.cn/doc/2018/04/28/108623.shtml" \o "分享到新浪微博"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"http://www.zyhhg.gov.cn/doc/2018/04/28/108623.shtml" \o "分享到微信"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"http://www.zyhhg.gov.cn/doc/2018/04/28/108623.shtml" \o "分享到QQ好友"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18"/>
          <w:szCs w:val="18"/>
          <w:u w:val="none"/>
          <w:bdr w:val="none" w:color="auto" w:sz="0" w:space="0"/>
          <w:lang w:val="en-US" w:eastAsia="zh-CN" w:bidi="ar"/>
        </w:rPr>
        <w:instrText xml:space="preserve"> HYPERLINK "http://www.zyhhg.gov.cn/doc/2018/04/28/108623.shtml" </w:instrText>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宋体" w:hAnsi="宋体" w:eastAsia="宋体" w:cs="宋体"/>
          <w:b w:val="0"/>
          <w:i w:val="0"/>
          <w:caps w:val="0"/>
          <w:color w:val="000000"/>
          <w:spacing w:val="0"/>
          <w:sz w:val="21"/>
          <w:szCs w:val="21"/>
          <w:bdr w:val="none" w:color="auto" w:sz="0" w:space="0"/>
        </w:rPr>
        <w:t>　　 （摘自黔招商领导小组办发〔2015〕18号）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一、土地利用政策。对优先发展，用地集约的产业和以农、林、牧、渔业产品初加工为主的工业项目，在确定土地出让底价时可按不低于所在地土地等别相对应《全国工业用地出让最低价标准》的50%执行；对确需使用土地利用总体规划确定的城镇建设用地范围外的国有未利用土地，且土地前期开发由土地使用者自行完成的工业项目，在确定土地出让价格时可按不低于所在地土地等别相对应《全国工业用地出让最低价标准》的10%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符合国家产业政策和我省产业结构调整方向，企业投资强度（不含土地价款）达到150万元/亩以上，或吸纳就业人数达到200人及以上的民营企业生产性新建或技改工业项目，按照省、市（地、州）、县级所得土地出让金30%的金额，按规定通过其他渠道奖励或补助企业；投资强度（不含土地价款）达到80万元/亩以上，或吸纳就业人数达到100人及以上的民营企业生产性新建或技改工业项目，按照省、市（州、地）、县级所得土地出让金20%的金额，按规定通过其他渠道奖励或补助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对工业用地符合规划、不改变土地用途、利用自有土地进行建设、提高土地利用率和增加容积率的，不再增收土地价款。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全省每年新增建设用地计划，预留足够的指标用于支持招商引资项目建设和产业园区建设，做到应有尽保；对投资额3000万美元或5亿元以上项目，由省级优先保障建设用地计划指标，对用地集约的国家鼓励类招商引资项目优先供应土地，对10亿元以上的招商引资大产业、大项目的实行“点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对投资5000万美元或3亿元人民币以上的鼓励类产业转移的重大项目，新增建设用地指标由省统一调剂。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二、税收优惠政策。对符合《关于深入实施西部大开发战略有关税收政策问题的通知》条件的外商投资总部企业，享受相关优惠政策、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三、财政扶持政策。拥有自主知识产权的产业转移企业在产业集聚区内进行二次投资的，企业上缴的税收中的地方所得部分，三年内以适当方式返还给企业。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整体转移企业落户我省后首次获得中国驰名商标、中国名牌产品、中国出口名牌等国家级品牌的，按照有关政策由省政府给予奖励。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鼓励在黔设立金融机构。自2015年起，对在贵州境内新设立的法人金融机构总部按注册资本金实际到位资金的1%由省财政给予一次性补贴，补贴金额不超过1000万元。对新引进我省的银行，由省财政给予10万元一次性补贴。银行业金融机构增设网店的，各市（州）政府可参照本意见制定有关奖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企业外包研发成果在我省投产后年销售收入达到3000万元的，企业所在地县级政府给予一次性50万元奖励；对投资超过5000万元的专业化公共研发技术服务平台，项目所在地市级政府认定后给予投资额5%的一次性奖励，最高不超过1000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符合条件的重大转移项目的自主创新、引进消化吸收再创新集成创新及技术改造，由省政府给予贴息或资金补助。从事服务外包的企业在按有关规定申请现有高新技术、信息产业、教育、商务等专项资金时，给予优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列入相关科技计划、重点技术创新计划、高技术产业化计划的项目，自立项之日起3年内政府免征购置新建生产科研办公用房的交易手续费，减半征收购置存量生产科研办公用房的交易手续费和产权登记费。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企业整体收购我省国有企业，对被收购企业原有的不良资产，经有关部门批准可予以核销，对非经营性资产准予剥离；在收购、兼并、重组过程中涉及存量土地，房产转让的，由有关部门依法免费变更权属；办理水、电、气及其他权证，免收除工本费以外的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在我省设立的创业投资机构，注册资金达到5000万元及以上，且带动社会资金在我省投资规模达到2亿元以上的，参照相应享受对金融机构的奖励补贴政策，返还注册登记时的有关费用，给予最高不超过10万元一次性开办费补贴；对符合备案管理奥球在我省新设立的创业投资企业，注册资金在3000万元以上、5000万元以下的，给予一次性5万元的开办费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四、金融投资政策。对各类贷款和外汇管理。要进一步简化审核手续，缩短审查，审核时间。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支持呼和条件的企业根据自身发展需要发行企业债券、短期融资券、中期票据和中小企业集合票据等直接融资工具，鼓励企业上市融资，积极参加跨境人民币结算试点工作。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支持金融机构创新金融产品和服务方式，推广动产、应收账款、仓单、股权、生产性生物资产、政府采购中标合同和知识产权等抵质押贷款方式。扩大贷款担保物范围。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抵押物确需评估的，抵押物登记不得指定评估机构；登记部门在办理企业贷款抵押物登记时，不得额外收取费用；评估机构收取的企业贷款抵押物评估费不得高于现有规定收费标准的50%。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银行业金融机构要加大对符合国家产业政策和节能环保要求等产业转移的信贷投放力度，积极为产业转移集聚区建设和发展提供有效信贷支持。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鼓励金融机构为转移企业提供开户、结算、融资、财务管理等金融服务，引导金融机构根据企业需求开展业务创新，及时满足企业多元化的金融服务需求。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在风险可控的条件下，积极探索对鼓励类产业转移企业知识产权和专利技术等无形资产的质押贷款。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允许转移企业以股权融资、项目融资和资产证券化融资等方式筹集资金。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允许转移到产业集聚区内的企业将原进口设备转到符合国家鼓励政策的新企业继续使用，监管期限可以连续计算。对省外高新技术企业和省级以上创新型企业，以及海内外重要研发机构、中试基地等落户产业集聚区的，享受转出地同等优惠政策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对转移至产业集聚区内创新型产业相关核心技术、重大装备研发项目，或重大引进技术、装备的消化吸收再创新项目，由省政府给予资助。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五、人才引进政策。对每个获批的省级人才团队，给予50-100万元的项目经费资助；对于被列入“两院”院士候选人才培养工程的人才及其团队，由省给予一次性120万元经费支持。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对于科技领军型创业人才创办的企业以知识产权等无形资产入股的，折算比例可达50%-70%；对于符合股权激励条件的团队和个人，给予股权认购、代持及股权取得阶段所产生的个人所得税代垫等资金支持。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对熟悉资本运作，拥有行业背景、精通现代管理投身于我省创业投资行业的人才给予适当奖励和税收优惠。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B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