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color w:val="112233"/>
          <w:spacing w:val="15"/>
        </w:rPr>
      </w:pPr>
      <w:r>
        <w:rPr>
          <w:rFonts w:ascii="微软雅黑" w:eastAsia="微软雅黑" w:hAnsi="微软雅黑" w:hint="eastAsia"/>
          <w:b/>
          <w:bCs/>
          <w:color w:val="112233"/>
          <w:spacing w:val="15"/>
          <w:sz w:val="27"/>
          <w:szCs w:val="27"/>
        </w:rPr>
        <w:t>巴彦淖尔市“河套英才”评选办法（试行）</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第一章 总 则</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第一条为进一步推进“人才强市”战略，充分发挥高层次人才在全市经济社会科学发展中的作用，确保“河套英才”工程顺利实施并取得实效，结合我市实际，制定本办法。</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二条全市各行各业优秀人才，既包括高学历、高职称等高精尖人才，也包括在本领域影响力强，有突出贡献的本土创新创业人才。入选国家“千人计划”、“万人计划”和自治区“草原英才”工程的人选在当年或下一年直接认定为“河套英才”；其他人员原则上从入选“河套英才”子工程项目的人选中产生。</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第三条 “河套英才”每批次评选30-50名。如上报数量不够或达不到评选条件，可酌情减少。“河套英才”每年评选一次，实行动态管理。</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第四条 “河套英才”评选工作在市人才工作协调小组统一领导下开展工作，由市委组织部具体负责组织实施“河套英才”评选工作。</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第二章 评定标准</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第五条 “河套英才”评定标准</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lastRenderedPageBreak/>
        <w:t>基本条件：热爱祖国，遵纪守法，拥护中国共产党领导；具有良好的职业道德和社会公德；爱岗敬业，在各自领域做出显著成绩，起到学术、技术带头人或领军人物作用；身体健康，年龄一般在57周岁以下（院士不受限制、创业人才可适当放宽）。</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同时，必须具备下列条件之一：</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1.中国科学院院士、中国工程院院士以及海外(含外籍)相当层次的人员。进入中国科学院院士增选、中国工程院院士遴选的有效候选人。（包括柔性引进的专家）</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2.获得国家自然科学奖、技术发明奖、科学技术进步奖的人员，国家杰出青年科学基金获得者，国家“863”计划、“973”计划首席科学家，“长江学者奖励计划”特聘教授，国家现代农业产业技术体系首席科学家，国家有突出贡献的中青年专家，国家重点学科、实验室、工程技术研究中心学术（技术）带头人；中央组织部“千人计划”、“万人计划”、中央宣传部“四个一批”、人力资源和社会保障部“新世纪百千万人才工程”、中国科学院“百人计划”等国家人才工程人选。</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3.享受国务院政府特殊津贴人员，教育部“新世纪优秀人才支持计划”人选；自治区或国务院部委级科学技术奖、哲学社会</w:t>
      </w:r>
      <w:r>
        <w:rPr>
          <w:rFonts w:ascii="微软雅黑" w:eastAsia="微软雅黑" w:hAnsi="微软雅黑" w:hint="eastAsia"/>
          <w:color w:val="112233"/>
          <w:spacing w:val="15"/>
          <w:sz w:val="27"/>
          <w:szCs w:val="27"/>
        </w:rPr>
        <w:lastRenderedPageBreak/>
        <w:t>科学优秀成果奖等省部级专项奖获得者，省部级有突出贡献的中青年专家，省部级重点学科、实验室、工程技术研究中心学术（技术）带头人；自治区“新世纪321人才工程”、“111企业经营管理人才选拔培养工程”人选，自治区中青年科技创新奖获得者，以及其他人才项目重点人选；获得国际重要科研奖项或在海外知名高校、实验室、科研院所、企业工作且有一定造诣的留学回国人员；拥有自主知识产权或掌握核心技术，或带资金（项目）来我市创业的高层次人才。</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4.在完成巴彦淖尔市重点工程设计方面，获得中国建筑工程鲁班奖、国家优秀工程勘察设计金奖、银奖、铜奖、优质工程奖或自治区（部）级优秀设计一等奖的主要完成人。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5.有重大发明创造或重大技术革新，获得国家发明专利或两项以上实用新型专利，并产生显著经济效益和社会效益的主要完成人。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6.在国家、自治区（部）、巴彦淖尔市重点科技攻关项目、宏观发展战略研究、重大建设项目和对外经济技术交往中，提出具有重大价值的可行性建议或解决关键性问题，并取得重大经济和社会效益的人员；国家和自治区重点工程建设、重大科技计划项目的主要责任人。包括：国家高技术研究发展计划（“863”计划）、国家基础研究重大项目计划（“973”计划）、国家科技攻关计划、国家自然科学基金重点、重大项目</w:t>
      </w:r>
      <w:r>
        <w:rPr>
          <w:rFonts w:ascii="微软雅黑" w:eastAsia="微软雅黑" w:hAnsi="微软雅黑" w:hint="eastAsia"/>
          <w:color w:val="112233"/>
          <w:spacing w:val="15"/>
          <w:sz w:val="27"/>
          <w:szCs w:val="27"/>
        </w:rPr>
        <w:lastRenderedPageBreak/>
        <w:t>的主要责任人。巴彦淖尔市科学技术特别贡献奖获得者和市科技进步一等奖、自然科学奖的主要完成人。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7.在引进、消化、吸收国内外先进技术，推广应用国内外新技术、新成果、新工艺，或者在企业技术改造、技术创新中解决重大技术难题，使设备或技术达到区内外先进水平，并取得重大经济效益的主要人员。</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8.长期工作在农牧林水领域科研、生产第一线，在农村牧区脱贫致富、推进产业结构调整中，通过科技成果转化或实用技术推广，取得显著经济效益和社会效益，并得到区内同行认可的农牧林水技术人员和农村牧区实用人才。</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9.长期在医疗卫生第一线工作，在医疗技术和临床效果、预防保健等方面达到区内外先进水平，特别是在应对突发重大疫情和诊治疑难、危重病症等方面做出重大贡献，社会影响大，业绩被区内外同行所公认的医务工作者。</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10.长期工作在教学和教育管理第一线，学术造诣高，对学科建设、人才培养做出突出贡献，教书育人成绩显著，为同行公认的教育工作者。获得全国优秀教师、优秀教育工作者，或自治区优秀教师、优秀教育工作者、特级教师、教学能手、学科带头人等荣誉称号的人员。</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lastRenderedPageBreak/>
        <w:t>11.从事文化艺术、新闻出版、理论宣传等工作，成绩卓著，在自治区、巴彦淖尔市享有较高声誉，做出突出贡献，获得自治区级及以上综合类、文艺类、新闻出版类、文化遗产保护类、公共文化建设类、文化产业类和广播影视工程类主奖项目的带头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12.在重点体育项目中，培养出1人次以上自治区级重大体育比赛冠军，为我市体育事业发展做出突出贡献的教练员。</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13.在企业从事经营管理工作，具有较高推广价值的现代管理理论和实践经验，能够进行科学管理，有重大改革创新的管理措施，对于推动科技进步和促进生产力发展贡献突出，所在单位经营管理水平及综合经济和社会效益指标达到自治区同行业前列，5年内取得显著经济和社会效益的高级管理人员。</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14.在技术创新、攻克技术难关等方面做出突出贡献，总结出一整套独特的操作技术方法，在生产实践中应用，产生重大经济效益和社会效益，或在本职业（工种）中具备某种绝招绝技，并在带徒传艺方面做出突出贡献，具有高级以上职业资格，技能水平在自治区内本职业（工种）中较有影响的高技能人才。获得“中华技能大奖”、全国或全区“技术能手”称号的人员；在全国一、二类技能竞赛中分别获得前五名、前三名，在全区一、二类技能竞赛中分别获得前二名，在全市一类竞赛中获得第一名的人员。上述技能竞赛获奖人员的指导教师。在某</w:t>
      </w:r>
      <w:r>
        <w:rPr>
          <w:rFonts w:ascii="微软雅黑" w:eastAsia="微软雅黑" w:hAnsi="微软雅黑" w:hint="eastAsia"/>
          <w:color w:val="112233"/>
          <w:spacing w:val="15"/>
          <w:sz w:val="27"/>
          <w:szCs w:val="27"/>
        </w:rPr>
        <w:lastRenderedPageBreak/>
        <w:t>一行业（领域）技能拔尖、技艺精湛并且具有较强创新创造能力和社会影响力的技能大师或工作室领头人。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15.长期工作在社会服务管理领域第一线，业绩突出，甘于奉献，群众公认，并受到市级以上表彰奖励的社会工作者。</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16.在其他方面对我市经济建设和社会发展做出突出贡献，取得显著成果，并受到市级以上表彰奖励的人员。</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第三章 申报方式</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第六条申报方式主要采取组织推荐、联名举荐、个人自荐相结合的办法。参加“河套英才”评选的个人只能按一个类别由一个单位推荐申报一次，不得重复申报。</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第七条申报“河套英才”可通过以下几种方式进行：</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组织推荐。符合参评条件的个人，经所在单位党组织对其进行资格审查后，确定为推荐对象。推荐对象根据申报类别，填写《“河套英才”工程培养（引进）高层次人才申报书》（附件1），连同证明材料（学历、职称、有关奖励和成果等证书复印件）报推荐单位主管机构。各旗县区委组织部、市级主管单位要对推荐对象进行严格审查，填写《“河套英才”工程引进高层次人才汇总表》（附件2）、《“河套英才”工程培养高层次人才汇总表》（附件3），上报市委组织部。市级主管单位重点负责所属部门个人的审核推荐工作，旗县区委组织部</w:t>
      </w:r>
      <w:r>
        <w:rPr>
          <w:rFonts w:ascii="微软雅黑" w:eastAsia="微软雅黑" w:hAnsi="微软雅黑" w:hint="eastAsia"/>
          <w:color w:val="112233"/>
          <w:spacing w:val="15"/>
          <w:sz w:val="27"/>
          <w:szCs w:val="27"/>
        </w:rPr>
        <w:lastRenderedPageBreak/>
        <w:t>重点负责本地区个人审核推荐工作。驻市企业所推荐对象相关材料直接报送市委组织部。所在单位及推荐单位要对上报材料的真实性负责。</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2.个人自荐。符合“河套英才”参评条件的自由职业者，由居住地街道办事处出具身份证明，填写“河套英才”申报书，连同证明材料（有关奖励和成果证书原件及复印件），直接报送属地党委组织部门。</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第四章 评选程序</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第八条 “河套英才”评选坚持党管人才和公开、平等、竞争、择优的原则。具体工作程序如下：</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1.发布公告。市委组织部根据我市经济社会发展重点领域和产业发展需求，确定推荐上报的重点领域，向社会发布公告。</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2.自愿申报。符合条件的个人，市直企事业单位向市主管部门申报，其他企事业单位向所在地旗县区委组织部申报。</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3.资格审查。市直有关部门或旗县区委组织部，要对所申报的个人进行认真审核，严格把关，确保信息真实、完整，推荐上报市委组织部。</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4.资格复查。市委组织部对申报的个人进行资格复审，符合条件的进行登记备案，不符合条件的及时通知本人。</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lastRenderedPageBreak/>
        <w:t>5.专家评审。采取专业评审和综合评审相结合的方式进行。根据初选结果，成立专业评审组，差额确定预备候选人名单。在专业评审的基础上，成立综合评审委员会，确定正式候选人名单。评审采取无记名投票方式进行表决。候选人名单按所属类别，以得票多少为序，由高到低进行排列。</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6.审议公示。专家评审的结果，经市委组织部部务会研究通过后，提交市人才工作协调小组审议确定正式人选名单，并在《巴彦淖尔日报》、《巴彦淖尔政府网》、《巴彦淖尔党建网》等新闻媒体进行公示，公示时间为7天。</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7.发文公布。经公示无异议者，以市人才工作协调小组名义发文公布。</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第五章 管理与考核</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第九条入选“河套英才”个人，享受本办法规定的相关政策待遇。</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条入选“河套英才”个人所在单位及主管部门要根据需要，妥善安排工作，从经费、资料、设备、人员等方面提供支持和保障，并视工作需要酌情配备助手。“河套英才”人选的工作岗位、专业技术职务聘任和奖惩、健康状况等情况发生变化，或办理了退休手续，以及对其作出的晋升、奖励、处分等决定，应及时报告市委组织部和各工程牵头部门。</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lastRenderedPageBreak/>
        <w:t>第十一条 “河套英才”实行年度考核制度。“河套英才”要根据本人专业特长和岗位工作任务，制定管理期工作规划。所在单位要根据他们完成目标任务的需要和现有条件，制定服务保障措施。主管部门和所在单位负责年度考核，每年要对“河套英才”工作目标完成情况和所在单位保证措施落实情况进行一次考核，重点是工作业绩和业务能力，并向市委组织部书面报告考核总体情况。</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二条对“河套英才”实行动态管理。有下列情况之一者，取消其“河套英才”荣誉称号，不再享受相关待遇：（1）丧失基本政治条件的；（2）弄虚作假，谎报成果，骗取荣誉的；（3）受到党纪政纪处分或刑事处罚的；（4）未完成年度目标任务，考核不合格的；（5）调往外地工作的；（6）其他原因不宜再作为“河套英才”的。</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第十三条成立专家评审委员会。由有关科局和专家组成评审委员会，对入选“河套英才”的候选人选进行评审。</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第六章 政策支持</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四条给予资金支持。对入选的“河套英才”一次性奖励1万元。入选单位和地区应同时配套相应支持资金。支持资金主要用于开展研发活动或促进科技成果转化等方面支出。对我市入选国家“千人计划”、“万人计划”等重大人才工程、自治</w:t>
      </w:r>
      <w:r>
        <w:rPr>
          <w:rFonts w:ascii="微软雅黑" w:eastAsia="微软雅黑" w:hAnsi="微软雅黑" w:hint="eastAsia"/>
          <w:color w:val="112233"/>
          <w:spacing w:val="15"/>
          <w:sz w:val="27"/>
          <w:szCs w:val="27"/>
        </w:rPr>
        <w:lastRenderedPageBreak/>
        <w:t>区“草原英才”工程的人才，除中央、自治区资助部分外，市委、市政府要落实相应的配套奖励资金。入选国家级重大人才工程的人才市本级配套奖励10万元、入选自治区级重大人才工程的人才市本级配套奖励1万元、入选自治区级创新创业基地或创新团队市本级配套奖励5万元。定期组织召开高层次人才座谈会、联谊会等活动。对享受国务院特殊津贴、入选国家和自治区重大“人才工程”、获得市级以上“有突出贡献专家”称号的人员，有计划地组织安排赴外考察、学习、研修。各旗县区和各单位也要对入选重大人才工程的团队和个人给予配套资金支持。</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五条加大项目支持。市委、政府在确定重大科研、产业和项目计划时，将向“河套英才”倾斜，在立项审批、经费资助、成果转化方面给与重点支持，在直接融资和银行贷款方面要给予优先支持。对“河套英才”在职称评审、职务晋升等方面给与支持。</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第十六条享受市委、政府出台的关于高层次人才引进和培养方面的其他优惠政策待遇。</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第七章 经费保障</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lastRenderedPageBreak/>
        <w:t>第十七条建立以政府投入为主导、用人单位投入为主体、社会投入为补充的“河套英才”工程多元化投入机制，政府投入实行分级负担的原则。</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第十八条市财政设立“河套英才”工程基金150万元，滚动使用，不足部分每年预算安排补齐，专项用于“河套英才”奖励支出。通过“以奖代补”的方式，对工程实施给予支持。各旗县区也应设立“河套英才”工程实施专项基金。</w:t>
      </w:r>
    </w:p>
    <w:p w:rsidR="00EB7356" w:rsidRDefault="00EB7356" w:rsidP="00EB7356">
      <w:pPr>
        <w:pStyle w:val="a3"/>
        <w:shd w:val="clear" w:color="auto" w:fill="FFFFFF"/>
        <w:spacing w:before="0" w:beforeAutospacing="0" w:after="240" w:afterAutospacing="0" w:line="360" w:lineRule="atLeast"/>
        <w:jc w:val="center"/>
        <w:rPr>
          <w:rFonts w:ascii="微软雅黑" w:eastAsia="微软雅黑" w:hAnsi="微软雅黑" w:hint="eastAsia"/>
          <w:color w:val="112233"/>
          <w:spacing w:val="15"/>
        </w:rPr>
      </w:pPr>
      <w:r>
        <w:rPr>
          <w:rFonts w:ascii="微软雅黑" w:eastAsia="微软雅黑" w:hAnsi="微软雅黑" w:hint="eastAsia"/>
          <w:b/>
          <w:bCs/>
          <w:color w:val="112233"/>
          <w:spacing w:val="15"/>
          <w:sz w:val="27"/>
          <w:szCs w:val="27"/>
        </w:rPr>
        <w:t>第八章 附 则</w:t>
      </w:r>
    </w:p>
    <w:p w:rsidR="00EB7356" w:rsidRDefault="00EB7356" w:rsidP="00EB7356">
      <w:pPr>
        <w:pStyle w:val="a3"/>
        <w:shd w:val="clear" w:color="auto" w:fill="FFFFFF"/>
        <w:spacing w:before="0" w:beforeAutospacing="0" w:after="240" w:afterAutospacing="0" w:line="360" w:lineRule="atLeast"/>
        <w:rPr>
          <w:rFonts w:ascii="微软雅黑" w:eastAsia="微软雅黑" w:hAnsi="微软雅黑" w:hint="eastAsia"/>
          <w:color w:val="112233"/>
          <w:spacing w:val="15"/>
        </w:rPr>
      </w:pPr>
      <w:r>
        <w:rPr>
          <w:rFonts w:ascii="微软雅黑" w:eastAsia="微软雅黑" w:hAnsi="微软雅黑" w:hint="eastAsia"/>
          <w:color w:val="112233"/>
          <w:spacing w:val="15"/>
          <w:sz w:val="27"/>
          <w:szCs w:val="27"/>
        </w:rPr>
        <w:t>本办法自印发之日起实施，由市委组织部、市人力资源和社会保障局负责解释。</w:t>
      </w:r>
    </w:p>
    <w:p w:rsidR="00650BB8" w:rsidRDefault="00EB7356">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4E"/>
    <w:rsid w:val="001F7137"/>
    <w:rsid w:val="00392DEA"/>
    <w:rsid w:val="00551BE2"/>
    <w:rsid w:val="00672B93"/>
    <w:rsid w:val="009D474E"/>
    <w:rsid w:val="00EB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F2CE-B615-4257-B179-9FE127E7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EB7356"/>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5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2018-05-22T07:31:00Z</dcterms:created>
  <dcterms:modified xsi:type="dcterms:W3CDTF">2018-05-22T07:31:00Z</dcterms:modified>
</cp:coreProperties>
</file>