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9B05" w14:textId="77777777" w:rsidR="00207D43" w:rsidRPr="00207D43" w:rsidRDefault="00207D43" w:rsidP="00207D43">
      <w:pPr>
        <w:widowControl/>
        <w:spacing w:after="150"/>
        <w:jc w:val="center"/>
        <w:outlineLvl w:val="2"/>
        <w:rPr>
          <w:rFonts w:ascii="微软雅黑" w:eastAsia="微软雅黑" w:hAnsi="微软雅黑" w:cs="Times New Roman"/>
          <w:b/>
          <w:bCs/>
          <w:color w:val="000000"/>
          <w:kern w:val="0"/>
          <w:sz w:val="39"/>
          <w:szCs w:val="39"/>
        </w:rPr>
      </w:pPr>
      <w:r w:rsidRPr="00207D43">
        <w:rPr>
          <w:rFonts w:ascii="微软雅黑" w:eastAsia="微软雅黑" w:hAnsi="微软雅黑" w:cs="Times New Roman" w:hint="eastAsia"/>
          <w:b/>
          <w:bCs/>
          <w:color w:val="000000"/>
          <w:kern w:val="0"/>
          <w:sz w:val="39"/>
          <w:szCs w:val="39"/>
        </w:rPr>
        <w:t>集美区教育局关于印发集美区高层次教育人才引进和培育实施细则（试行）的通知</w:t>
      </w:r>
    </w:p>
    <w:p w14:paraId="54F0C690"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微软雅黑" w:eastAsia="微软雅黑" w:hAnsi="微软雅黑" w:cs="Times New Roman" w:hint="eastAsia"/>
          <w:color w:val="000000"/>
          <w:kern w:val="0"/>
          <w:sz w:val="23"/>
          <w:szCs w:val="23"/>
        </w:rPr>
        <w:t>时间： 2017-06-30 阅读人数： 141</w:t>
      </w:r>
    </w:p>
    <w:p w14:paraId="33FE618C" w14:textId="77777777" w:rsidR="00207D43" w:rsidRPr="00207D43" w:rsidRDefault="00207D43" w:rsidP="00207D43">
      <w:pPr>
        <w:widowControl/>
        <w:wordWrap w:val="0"/>
        <w:spacing w:line="338" w:lineRule="atLeast"/>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区属各校（园）、各单位：</w:t>
      </w:r>
    </w:p>
    <w:p w14:paraId="40F10C87"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现将《集美区高层次教育人才引进和培育实施细则（试行）》印发给你们，请认真贯彻落实。</w:t>
      </w:r>
    </w:p>
    <w:p w14:paraId="7A7A7A9F"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 </w:t>
      </w:r>
    </w:p>
    <w:p w14:paraId="47BF0EF6" w14:textId="77777777" w:rsidR="00207D43" w:rsidRPr="00207D43" w:rsidRDefault="00207D43" w:rsidP="00207D43">
      <w:pPr>
        <w:widowControl/>
        <w:shd w:val="clear" w:color="auto" w:fill="FFFFFF"/>
        <w:wordWrap w:val="0"/>
        <w:spacing w:line="338" w:lineRule="atLeast"/>
        <w:ind w:firstLine="627"/>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 </w:t>
      </w:r>
    </w:p>
    <w:p w14:paraId="07ADCE1C" w14:textId="77777777" w:rsidR="00207D43" w:rsidRPr="00207D43" w:rsidRDefault="00207D43" w:rsidP="00207D43">
      <w:pPr>
        <w:widowControl/>
        <w:shd w:val="clear" w:color="auto" w:fill="FFFFFF"/>
        <w:wordWrap w:val="0"/>
        <w:spacing w:line="338" w:lineRule="atLeast"/>
        <w:ind w:firstLine="627"/>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集美区教育局</w:t>
      </w:r>
    </w:p>
    <w:p w14:paraId="31C8BA60" w14:textId="77777777" w:rsidR="00207D43" w:rsidRPr="00207D43" w:rsidRDefault="00207D43" w:rsidP="00207D43">
      <w:pPr>
        <w:widowControl/>
        <w:shd w:val="clear" w:color="auto" w:fill="FFFFFF"/>
        <w:wordWrap w:val="0"/>
        <w:spacing w:line="338" w:lineRule="atLeast"/>
        <w:ind w:firstLine="627"/>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2017年6月30日</w:t>
      </w:r>
    </w:p>
    <w:p w14:paraId="7CA2C32C" w14:textId="77777777" w:rsidR="00207D43" w:rsidRPr="00207D43" w:rsidRDefault="00207D43" w:rsidP="00207D43">
      <w:pPr>
        <w:widowControl/>
        <w:shd w:val="clear" w:color="auto" w:fill="FFFFFF"/>
        <w:wordWrap w:val="0"/>
        <w:spacing w:line="338" w:lineRule="atLeast"/>
        <w:ind w:firstLine="627"/>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 </w:t>
      </w:r>
    </w:p>
    <w:p w14:paraId="0B266812" w14:textId="77777777" w:rsidR="00207D43" w:rsidRPr="00207D43" w:rsidRDefault="00207D43" w:rsidP="00207D43">
      <w:pPr>
        <w:widowControl/>
        <w:shd w:val="clear" w:color="auto" w:fill="FFFFFF"/>
        <w:wordWrap w:val="0"/>
        <w:spacing w:line="338" w:lineRule="atLeast"/>
        <w:ind w:firstLine="627"/>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 </w:t>
      </w:r>
    </w:p>
    <w:p w14:paraId="5B734265" w14:textId="77777777" w:rsidR="00207D43" w:rsidRPr="00207D43" w:rsidRDefault="00207D43" w:rsidP="00207D43">
      <w:pPr>
        <w:widowControl/>
        <w:wordWrap w:val="0"/>
        <w:jc w:val="left"/>
        <w:rPr>
          <w:rFonts w:ascii="微软雅黑" w:eastAsia="微软雅黑" w:hAnsi="微软雅黑" w:cs="Times New Roman"/>
          <w:color w:val="000000"/>
          <w:kern w:val="0"/>
          <w:sz w:val="23"/>
          <w:szCs w:val="23"/>
        </w:rPr>
      </w:pPr>
      <w:r w:rsidRPr="00207D43">
        <w:rPr>
          <w:rFonts w:ascii="方正小标宋简体" w:eastAsia="方正小标宋简体" w:hAnsi="微软雅黑" w:cs="Times New Roman" w:hint="eastAsia"/>
          <w:b/>
          <w:bCs/>
          <w:color w:val="000000"/>
          <w:kern w:val="0"/>
          <w:sz w:val="40"/>
          <w:szCs w:val="40"/>
        </w:rPr>
        <w:br w:type="textWrapping" w:clear="all"/>
      </w:r>
    </w:p>
    <w:p w14:paraId="6FC6FDF2" w14:textId="77777777" w:rsidR="00207D43" w:rsidRPr="00207D43" w:rsidRDefault="00207D43" w:rsidP="00207D43">
      <w:pPr>
        <w:widowControl/>
        <w:wordWrap w:val="0"/>
        <w:jc w:val="center"/>
        <w:rPr>
          <w:rFonts w:ascii="微软雅黑" w:eastAsia="微软雅黑" w:hAnsi="微软雅黑" w:cs="Times New Roman"/>
          <w:color w:val="000000"/>
          <w:kern w:val="0"/>
          <w:sz w:val="23"/>
          <w:szCs w:val="23"/>
        </w:rPr>
      </w:pPr>
      <w:r w:rsidRPr="00207D43">
        <w:rPr>
          <w:rFonts w:ascii="方正小标宋简体" w:eastAsia="方正小标宋简体" w:hAnsi="微软雅黑" w:cs="Times New Roman" w:hint="eastAsia"/>
          <w:b/>
          <w:bCs/>
          <w:color w:val="000000"/>
          <w:kern w:val="0"/>
          <w:sz w:val="40"/>
          <w:szCs w:val="40"/>
        </w:rPr>
        <w:t> </w:t>
      </w:r>
    </w:p>
    <w:p w14:paraId="40092446" w14:textId="77777777" w:rsidR="00207D43" w:rsidRPr="00207D43" w:rsidRDefault="00207D43" w:rsidP="00207D43">
      <w:pPr>
        <w:widowControl/>
        <w:wordWrap w:val="0"/>
        <w:jc w:val="center"/>
        <w:rPr>
          <w:rFonts w:ascii="微软雅黑" w:eastAsia="微软雅黑" w:hAnsi="微软雅黑" w:cs="Times New Roman"/>
          <w:color w:val="000000"/>
          <w:kern w:val="0"/>
          <w:sz w:val="23"/>
          <w:szCs w:val="23"/>
        </w:rPr>
      </w:pPr>
      <w:r w:rsidRPr="00207D43">
        <w:rPr>
          <w:rFonts w:ascii="MS Mincho" w:eastAsia="MS Mincho" w:hAnsi="MS Mincho" w:cs="MS Mincho"/>
          <w:b/>
          <w:bCs/>
          <w:color w:val="000000"/>
          <w:kern w:val="0"/>
          <w:sz w:val="40"/>
          <w:szCs w:val="40"/>
        </w:rPr>
        <w:t>集美区高</w:t>
      </w:r>
      <w:r w:rsidRPr="00207D43">
        <w:rPr>
          <w:rFonts w:ascii="宋体" w:eastAsia="宋体" w:hAnsi="宋体" w:cs="宋体"/>
          <w:b/>
          <w:bCs/>
          <w:color w:val="000000"/>
          <w:kern w:val="0"/>
          <w:sz w:val="40"/>
          <w:szCs w:val="40"/>
        </w:rPr>
        <w:t>层</w:t>
      </w:r>
      <w:r w:rsidRPr="00207D43">
        <w:rPr>
          <w:rFonts w:ascii="MS Mincho" w:eastAsia="MS Mincho" w:hAnsi="MS Mincho" w:cs="MS Mincho"/>
          <w:b/>
          <w:bCs/>
          <w:color w:val="000000"/>
          <w:kern w:val="0"/>
          <w:sz w:val="40"/>
          <w:szCs w:val="40"/>
        </w:rPr>
        <w:t>次教育人才引</w:t>
      </w:r>
      <w:r w:rsidRPr="00207D43">
        <w:rPr>
          <w:rFonts w:ascii="宋体" w:eastAsia="宋体" w:hAnsi="宋体" w:cs="宋体"/>
          <w:b/>
          <w:bCs/>
          <w:color w:val="000000"/>
          <w:kern w:val="0"/>
          <w:sz w:val="40"/>
          <w:szCs w:val="40"/>
        </w:rPr>
        <w:t>进</w:t>
      </w:r>
      <w:r w:rsidRPr="00207D43">
        <w:rPr>
          <w:rFonts w:ascii="MS Mincho" w:eastAsia="MS Mincho" w:hAnsi="MS Mincho" w:cs="MS Mincho"/>
          <w:b/>
          <w:bCs/>
          <w:color w:val="000000"/>
          <w:kern w:val="0"/>
          <w:sz w:val="40"/>
          <w:szCs w:val="40"/>
        </w:rPr>
        <w:t>和培育</w:t>
      </w:r>
      <w:r w:rsidRPr="00207D43">
        <w:rPr>
          <w:rFonts w:ascii="宋体" w:eastAsia="宋体" w:hAnsi="宋体" w:cs="宋体"/>
          <w:b/>
          <w:bCs/>
          <w:color w:val="000000"/>
          <w:kern w:val="0"/>
          <w:sz w:val="40"/>
          <w:szCs w:val="40"/>
        </w:rPr>
        <w:t>实</w:t>
      </w:r>
      <w:r w:rsidRPr="00207D43">
        <w:rPr>
          <w:rFonts w:ascii="MS Mincho" w:eastAsia="MS Mincho" w:hAnsi="MS Mincho" w:cs="MS Mincho"/>
          <w:b/>
          <w:bCs/>
          <w:color w:val="000000"/>
          <w:kern w:val="0"/>
          <w:sz w:val="40"/>
          <w:szCs w:val="40"/>
        </w:rPr>
        <w:t>施</w:t>
      </w:r>
      <w:r w:rsidRPr="00207D43">
        <w:rPr>
          <w:rFonts w:ascii="宋体" w:eastAsia="宋体" w:hAnsi="宋体" w:cs="宋体"/>
          <w:b/>
          <w:bCs/>
          <w:color w:val="000000"/>
          <w:kern w:val="0"/>
          <w:sz w:val="40"/>
          <w:szCs w:val="40"/>
        </w:rPr>
        <w:t>细则</w:t>
      </w:r>
    </w:p>
    <w:p w14:paraId="39C178E8" w14:textId="77777777" w:rsidR="00207D43" w:rsidRPr="00207D43" w:rsidRDefault="00207D43" w:rsidP="00207D43">
      <w:pPr>
        <w:widowControl/>
        <w:wordWrap w:val="0"/>
        <w:jc w:val="center"/>
        <w:rPr>
          <w:rFonts w:ascii="微软雅黑" w:eastAsia="微软雅黑" w:hAnsi="微软雅黑" w:cs="Times New Roman"/>
          <w:color w:val="000000"/>
          <w:kern w:val="0"/>
          <w:sz w:val="23"/>
          <w:szCs w:val="23"/>
        </w:rPr>
      </w:pPr>
      <w:r w:rsidRPr="00207D43">
        <w:rPr>
          <w:rFonts w:ascii="MS Mincho" w:eastAsia="MS Mincho" w:hAnsi="MS Mincho" w:cs="MS Mincho"/>
          <w:b/>
          <w:bCs/>
          <w:color w:val="000000"/>
          <w:kern w:val="0"/>
          <w:sz w:val="40"/>
          <w:szCs w:val="40"/>
        </w:rPr>
        <w:t>（</w:t>
      </w:r>
      <w:r w:rsidRPr="00207D43">
        <w:rPr>
          <w:rFonts w:ascii="宋体" w:eastAsia="宋体" w:hAnsi="宋体" w:cs="宋体"/>
          <w:b/>
          <w:bCs/>
          <w:color w:val="000000"/>
          <w:kern w:val="0"/>
          <w:sz w:val="40"/>
          <w:szCs w:val="40"/>
        </w:rPr>
        <w:t>试</w:t>
      </w:r>
      <w:r w:rsidRPr="00207D43">
        <w:rPr>
          <w:rFonts w:ascii="MS Mincho" w:eastAsia="MS Mincho" w:hAnsi="MS Mincho" w:cs="MS Mincho"/>
          <w:b/>
          <w:bCs/>
          <w:color w:val="000000"/>
          <w:kern w:val="0"/>
          <w:sz w:val="40"/>
          <w:szCs w:val="40"/>
        </w:rPr>
        <w:t>行）</w:t>
      </w:r>
    </w:p>
    <w:p w14:paraId="4E483033" w14:textId="77777777" w:rsidR="00207D43" w:rsidRPr="00207D43" w:rsidRDefault="00207D43" w:rsidP="00207D43">
      <w:pPr>
        <w:widowControl/>
        <w:wordWrap w:val="0"/>
        <w:spacing w:line="338" w:lineRule="atLeast"/>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 </w:t>
      </w:r>
    </w:p>
    <w:p w14:paraId="426DFF27" w14:textId="77777777" w:rsidR="00207D43" w:rsidRPr="00207D43" w:rsidRDefault="00207D43" w:rsidP="00207D43">
      <w:pPr>
        <w:widowControl/>
        <w:wordWrap w:val="0"/>
        <w:spacing w:before="240" w:after="240" w:line="338" w:lineRule="atLeast"/>
        <w:jc w:val="center"/>
        <w:rPr>
          <w:rFonts w:ascii="微软雅黑" w:eastAsia="微软雅黑" w:hAnsi="微软雅黑" w:cs="Times New Roman"/>
          <w:color w:val="000000"/>
          <w:kern w:val="0"/>
          <w:sz w:val="23"/>
          <w:szCs w:val="23"/>
        </w:rPr>
      </w:pPr>
      <w:r w:rsidRPr="00207D43">
        <w:rPr>
          <w:rFonts w:ascii="黑体" w:eastAsia="黑体" w:hAnsi="黑体" w:cs="Times New Roman" w:hint="eastAsia"/>
          <w:color w:val="000000"/>
          <w:kern w:val="0"/>
          <w:sz w:val="32"/>
          <w:szCs w:val="32"/>
        </w:rPr>
        <w:t>第一章  总  则</w:t>
      </w:r>
    </w:p>
    <w:p w14:paraId="10E240DB"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lastRenderedPageBreak/>
        <w:t>第一条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为深入贯彻落实科教兴区、人才强区战略，加强教育人才队伍建设，规范教育人才引进和培育工作，注重引进和培育“名校长”、“名教师”，建立一支高素质的教师队伍，推动我区教育事业科学发展，根据《中共集美区委员会办公室、集美区人民政府办公室关于印发〈集美区贯彻落实“海纳百川”人才计划实施“聚贤集美”人才计划的意见〉的通知》（厦集委办〔2013〕32号）精神，结合我区教育工作实际，制定本实施细则。</w:t>
      </w:r>
    </w:p>
    <w:p w14:paraId="52DEC230"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第二条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 xml:space="preserve"> 成立区教育人才工作领导小组（以下简称领导小组），成员由区委、区政府相关领导及区相关部门领导组成，领导小组下设办公室（以下简称区教育人才办），办公室设在区教育局，具体负责教育人才引进和培育工作，办公室主任由区教育局局长兼任。</w:t>
      </w:r>
    </w:p>
    <w:p w14:paraId="46CC80DB"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第三条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到2018年，重点引进和培育省级“名校长”2人、省级“名教师”5人、市级“名教师”23人和柔性引进高层次教育人才20人到区属学校工作。</w:t>
      </w:r>
    </w:p>
    <w:p w14:paraId="2E782E19" w14:textId="77777777" w:rsidR="00207D43" w:rsidRPr="00207D43" w:rsidRDefault="00207D43" w:rsidP="00207D43">
      <w:pPr>
        <w:widowControl/>
        <w:wordWrap w:val="0"/>
        <w:spacing w:before="240" w:after="240" w:line="338" w:lineRule="atLeast"/>
        <w:jc w:val="center"/>
        <w:rPr>
          <w:rFonts w:ascii="微软雅黑" w:eastAsia="微软雅黑" w:hAnsi="微软雅黑" w:cs="Times New Roman"/>
          <w:color w:val="000000"/>
          <w:kern w:val="0"/>
          <w:sz w:val="23"/>
          <w:szCs w:val="23"/>
        </w:rPr>
      </w:pPr>
      <w:r w:rsidRPr="00207D43">
        <w:rPr>
          <w:rFonts w:ascii="黑体" w:eastAsia="黑体" w:hAnsi="黑体" w:cs="Times New Roman" w:hint="eastAsia"/>
          <w:color w:val="000000"/>
          <w:kern w:val="0"/>
          <w:sz w:val="32"/>
          <w:szCs w:val="32"/>
        </w:rPr>
        <w:t>第二章  引进条件</w:t>
      </w:r>
    </w:p>
    <w:p w14:paraId="538D3512"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第四条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 xml:space="preserve"> 引进的省级“名校长”应具备下列条件：</w:t>
      </w:r>
    </w:p>
    <w:p w14:paraId="6B39D205"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（一）中学校长任省中学一级达标校校长3年以上或分管教学的副校长5年以上，小学校长任省级素质教育先进校或当地实验校或示范校校长3年以上。同时，获得省</w:t>
      </w:r>
      <w:r w:rsidRPr="00207D43">
        <w:rPr>
          <w:rFonts w:ascii="仿宋_GB2312" w:eastAsia="仿宋_GB2312" w:hAnsi="微软雅黑" w:cs="Times New Roman" w:hint="eastAsia"/>
          <w:color w:val="000000"/>
          <w:kern w:val="0"/>
          <w:sz w:val="32"/>
          <w:szCs w:val="32"/>
        </w:rPr>
        <w:lastRenderedPageBreak/>
        <w:t>级及以上名校长称号，或省级特级教师称号，或省级名师称号，或省级学科带头人称号。</w:t>
      </w:r>
    </w:p>
    <w:p w14:paraId="243B0BE5"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（二）热爱教育事业，有良好的教师职业道德。</w:t>
      </w:r>
    </w:p>
    <w:p w14:paraId="08441042"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（三）大学本科及以上学历，具有高级教师职称。</w:t>
      </w:r>
    </w:p>
    <w:p w14:paraId="36307311"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（四）年龄原则上男48周岁以下、女45周岁以下（获得特级教师称号的年龄可放宽至男50周岁、女48周岁），身心健康。</w:t>
      </w:r>
    </w:p>
    <w:p w14:paraId="7BBB2AC3"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（五）管理能力强，任职所在学校教育教学成绩突出，在当地同类学校中发挥示范作用，学校获得政府或教育行政部门授予的地市级以上先进单位（综合性表彰）称号。</w:t>
      </w:r>
    </w:p>
    <w:p w14:paraId="56648801"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六）具有较高的教育教学水平，教科研成果突出，近5年内在CN刊物或省级及以上教育专业刊物发表教育管理类论文2篇以上，或正式出版教育管理类著作1部以上（主要完成者），或在地市级以上教育管理、教育行政、业务部门举办的教育管理类专业论文评比中获一等奖以上，或主持省级以上教育管理类科研课题1项以上。</w:t>
      </w:r>
    </w:p>
    <w:p w14:paraId="69C2704B"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第五条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 xml:space="preserve"> 引进的省级“名教师”应具备下列条件：</w:t>
      </w:r>
    </w:p>
    <w:p w14:paraId="635AD698"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（一）具有省级特级教师称号，或省级名师称号，或省级学科带头人称号。</w:t>
      </w:r>
    </w:p>
    <w:p w14:paraId="2EE76DE5"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（二）热爱教育事业，有良好的教师职业道德。</w:t>
      </w:r>
    </w:p>
    <w:p w14:paraId="7F6FBA83"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（三）大学本科及以上学历，具有高级教师职称。</w:t>
      </w:r>
    </w:p>
    <w:p w14:paraId="7C532900"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lastRenderedPageBreak/>
        <w:t>（四）年龄原则上45周岁以下，身心健康。</w:t>
      </w:r>
    </w:p>
    <w:p w14:paraId="1D58D71E"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五）具有较高的教育教学水平，教科研成果突出，近5年内在CN刊物或省级及以上教育专业刊物发表教育教学论文2篇以上，或正式出版教育教学类学术著作1部以上，或在地市级以上教育行政、业务部门举办的教育教学专业论文评比中获一等奖以上，或主持地市级及以上教育科研课题1项以上。</w:t>
      </w:r>
    </w:p>
    <w:p w14:paraId="744165F3"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第六条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 xml:space="preserve"> 引进的市级“名教师”应具备下列条件：</w:t>
      </w:r>
    </w:p>
    <w:p w14:paraId="0BF10322"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（一）具有市级专家型教师称号。</w:t>
      </w:r>
    </w:p>
    <w:p w14:paraId="3811D989"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（二）热爱教育事业，有良好的教师职业道德。</w:t>
      </w:r>
    </w:p>
    <w:p w14:paraId="1FD340BA"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（三）大学本科及以上学历，具有高级教师职称。</w:t>
      </w:r>
    </w:p>
    <w:p w14:paraId="0666DEE3"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（四）年龄原则上男45周岁以下、女40周岁以下，身心健康。</w:t>
      </w:r>
    </w:p>
    <w:p w14:paraId="33817099"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五）具有较强的教育教学和科研能力，近5年内在CN刊物或省级及以上教育专业刊物上发表教育教学论文2篇以上，或在地市级以上教育行政、业务部门举办的教育教学专业论文评比中获一等奖以上，或主持地市级及以上教育科研课题1项以上，或在地市级以上教育行政部门举办的教师教学技能竞赛中获一等奖以上。</w:t>
      </w:r>
    </w:p>
    <w:p w14:paraId="07C97806"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第七条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 xml:space="preserve"> 柔性引进高层次教育人才应具备的条件：</w:t>
      </w:r>
    </w:p>
    <w:p w14:paraId="570E3ADF"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首聘年龄原则上65周岁以下（具有正高级教师职称，或正教授职称，或获得省特级教师称号的可放宽到男68周</w:t>
      </w:r>
      <w:r w:rsidRPr="00207D43">
        <w:rPr>
          <w:rFonts w:ascii="仿宋_GB2312" w:eastAsia="仿宋_GB2312" w:hAnsi="微软雅黑" w:cs="Times New Roman" w:hint="eastAsia"/>
          <w:color w:val="000000"/>
          <w:kern w:val="0"/>
          <w:sz w:val="32"/>
          <w:szCs w:val="32"/>
        </w:rPr>
        <w:lastRenderedPageBreak/>
        <w:t>岁以下），在聘年龄最高不得超过70周岁，身心健康，师德良好，并具备以下条件之一：</w:t>
      </w:r>
    </w:p>
    <w:p w14:paraId="57F55BCB"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（一）具有正高级教师职称，或正教授职称。</w:t>
      </w:r>
    </w:p>
    <w:p w14:paraId="7ACF7254"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（二）中学教师（校长）具有大学本科及以上学历，高级教师职称；并获得省特级教师称号，或省级名师称号，或省级学科带头称号，或省级名校长称号。</w:t>
      </w:r>
    </w:p>
    <w:p w14:paraId="0361FCD3"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（三）小学教师（校长）具有大专及以上学历，高级教师职称；并获得省特级教师称号，或省级名师称号，或省级学科带头称号，或省级名校长称号。</w:t>
      </w:r>
    </w:p>
    <w:p w14:paraId="612CEB50"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（四）幼儿园教师（园长）具有大专及以上学历，高级教师职称；并获得省特级教师称号，或省级名师称号，或省级学科带头称号，或名园长称号。</w:t>
      </w:r>
    </w:p>
    <w:p w14:paraId="134C52E7" w14:textId="77777777" w:rsidR="00207D43" w:rsidRPr="00207D43" w:rsidRDefault="00207D43" w:rsidP="00207D43">
      <w:pPr>
        <w:widowControl/>
        <w:wordWrap w:val="0"/>
        <w:spacing w:before="240" w:after="240" w:line="338" w:lineRule="atLeast"/>
        <w:jc w:val="center"/>
        <w:rPr>
          <w:rFonts w:ascii="微软雅黑" w:eastAsia="微软雅黑" w:hAnsi="微软雅黑" w:cs="Times New Roman"/>
          <w:color w:val="000000"/>
          <w:kern w:val="0"/>
          <w:sz w:val="23"/>
          <w:szCs w:val="23"/>
        </w:rPr>
      </w:pPr>
      <w:r w:rsidRPr="00207D43">
        <w:rPr>
          <w:rFonts w:ascii="黑体" w:eastAsia="黑体" w:hAnsi="黑体" w:cs="Times New Roman" w:hint="eastAsia"/>
          <w:color w:val="000000"/>
          <w:kern w:val="0"/>
          <w:sz w:val="32"/>
          <w:szCs w:val="32"/>
        </w:rPr>
        <w:t>第三章  优惠政策</w:t>
      </w:r>
    </w:p>
    <w:p w14:paraId="72151E8A"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第八条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对引进的省级“名校长”和省级“名教师”给予每人50万元的安家补贴，其中：一次性给予安家补贴25万元；剩余的安家补贴25万元，按服务每满一年给予5万元标准支付，直到支付完毕。</w:t>
      </w:r>
    </w:p>
    <w:p w14:paraId="2F417DEF"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第九条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对引进的市级“名教师”给予每人15万元的安家补贴，其中：一次性给予安家补贴5万元；剩余的安家补贴10万元，按服务每满一年给予2万元标准支付，直到支付完毕。</w:t>
      </w:r>
    </w:p>
    <w:p w14:paraId="7E88FF94"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lastRenderedPageBreak/>
        <w:t>第十条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对柔性引进的高层次教育人才给予最高每人每月1万元的生活补贴，每月发放一次。区教育局和聘用单位按照其实际工作天数、工作量、工作业绩等情况核定发放。</w:t>
      </w:r>
    </w:p>
    <w:p w14:paraId="68C1D516"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第十一条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 xml:space="preserve"> 引进人才原已聘任的专业技术职务等级由用人单位先从核准的岗位数中聘用。专业技术职务任职年限连续计算。</w:t>
      </w:r>
    </w:p>
    <w:p w14:paraId="6F18A4CD"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第十二条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 xml:space="preserve"> 引进人才的子女如需在义务教育阶段就学，由区教育局在区属优质学校中给予统筹安排。</w:t>
      </w:r>
    </w:p>
    <w:p w14:paraId="1F773753"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第十三条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 xml:space="preserve"> 引进人才的配偶随同来集美就业的，由区人力资源和社会保障局协助推荐就业。</w:t>
      </w:r>
    </w:p>
    <w:p w14:paraId="3B921F87"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第十四条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 xml:space="preserve"> 符合享受厦门市引进人才住房、落户、配偶就业、子女入学、社会保险、职称评聘等政策待遇的，由区教育人才办协助申报。</w:t>
      </w:r>
    </w:p>
    <w:p w14:paraId="6FD0569B"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第十五条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 xml:space="preserve"> 本区编内在职教师获得正高级教师职称，或获得省特级教师、省级名师、省级名校长、省级学科带头人及以上称号的，给予一次性5万元的奖励；获得市级专家型教师称号的，给予一次性3万元的奖励。（上述奖励按就高不就低的原则，每个人只领取奖励金额最高的一次奖项，但同一个人如获得奖励后又获得更高级别的奖励，则按更高级别的奖励标准给予奖励并补发差额部分）。</w:t>
      </w:r>
    </w:p>
    <w:p w14:paraId="26976CF9" w14:textId="77777777" w:rsidR="00207D43" w:rsidRPr="00207D43" w:rsidRDefault="00207D43" w:rsidP="00207D43">
      <w:pPr>
        <w:widowControl/>
        <w:wordWrap w:val="0"/>
        <w:spacing w:before="240" w:after="240" w:line="338" w:lineRule="atLeast"/>
        <w:jc w:val="center"/>
        <w:rPr>
          <w:rFonts w:ascii="微软雅黑" w:eastAsia="微软雅黑" w:hAnsi="微软雅黑" w:cs="Times New Roman"/>
          <w:color w:val="000000"/>
          <w:kern w:val="0"/>
          <w:sz w:val="23"/>
          <w:szCs w:val="23"/>
        </w:rPr>
      </w:pPr>
      <w:r w:rsidRPr="00207D43">
        <w:rPr>
          <w:rFonts w:ascii="黑体" w:eastAsia="黑体" w:hAnsi="黑体" w:cs="Times New Roman" w:hint="eastAsia"/>
          <w:color w:val="000000"/>
          <w:kern w:val="0"/>
          <w:sz w:val="32"/>
          <w:szCs w:val="32"/>
        </w:rPr>
        <w:t>第四章  引进方式、程序及优惠政策兑现</w:t>
      </w:r>
    </w:p>
    <w:p w14:paraId="1A3C5F41"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lastRenderedPageBreak/>
        <w:t>第十六条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 xml:space="preserve"> 引进方式：</w:t>
      </w:r>
    </w:p>
    <w:p w14:paraId="191F0F71"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一）考核引进：具有省特级教师称号，或博士学位，或与岗位需要相一致的正高级专业技术职务任职资格，或与岗位需要相一致的副高级专业技术职务任职资格且有硕士学位，或其他经区、市组织人事部门审批同意可简化招聘程序并采用考核等方式直接聘用的，采用考核等方式直接聘用。</w:t>
      </w:r>
    </w:p>
    <w:p w14:paraId="57A018D2"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二）招考引进：参加厦门市公开招聘中小学、幼儿园教师，报考集美区教师岗位，被录用且经考核符合本细则规定引进条件的；或经区、市组织人事部门批准并面向社会公开招聘，被录用且经考核符合本细则规定引进条件的。</w:t>
      </w:r>
    </w:p>
    <w:p w14:paraId="33E52807"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（三）其它引进：经示范课、面试、考核等方式进行能力水平测试后确定引进对象的,与引进人才签订合同书，确定工作任务和福利待遇。</w:t>
      </w:r>
    </w:p>
    <w:p w14:paraId="793D520E"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第十七条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 xml:space="preserve"> 引进程序：</w:t>
      </w:r>
    </w:p>
    <w:p w14:paraId="4081E829"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（一）区教育人才办根据我区教育事业发展需要，每年制定《集美区引进高层层教育人才实施方案》，报区教育人才工作领导小组审批后公开发布招聘公告。</w:t>
      </w:r>
    </w:p>
    <w:p w14:paraId="52B43726"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（二）组织报名，由申报者填写《集美区高层次教育人才引进申请表》、《集美区引进高层次教育人才人员信</w:t>
      </w:r>
      <w:r w:rsidRPr="00207D43">
        <w:rPr>
          <w:rFonts w:ascii="仿宋_GB2312" w:eastAsia="仿宋_GB2312" w:hAnsi="微软雅黑" w:cs="Times New Roman" w:hint="eastAsia"/>
          <w:color w:val="000000"/>
          <w:kern w:val="0"/>
          <w:sz w:val="32"/>
          <w:szCs w:val="32"/>
        </w:rPr>
        <w:lastRenderedPageBreak/>
        <w:t>息汇总表》和提供一份《个人工作情况简介》和有关材料，报送区教育人才办。</w:t>
      </w:r>
    </w:p>
    <w:p w14:paraId="66B486DE"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（三）区教育人才办对报名对象进行资格审查，审查结果报区教育人才工作领导小组审定。</w:t>
      </w:r>
    </w:p>
    <w:p w14:paraId="36A6D93A"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（四）由区教育人才办组织成立专家考评小组，对审定人员进行考评。对拟引进校长采用面试和组织考核的形式考评；对拟引进教师采用示范课、面试、考核等形式考评。</w:t>
      </w:r>
    </w:p>
    <w:p w14:paraId="39E85319"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（五）区教育人才办组织体检，按照《福建省教师资格申请人员体检标准及办法》的要求进行。</w:t>
      </w:r>
    </w:p>
    <w:p w14:paraId="20C8B56F"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（六）区人才办对体检合格的拟引进人员名单进行审核。</w:t>
      </w:r>
    </w:p>
    <w:p w14:paraId="4EE52483"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（七）区教育人才工作领导小组研究决定拟引进人员名单。</w:t>
      </w:r>
    </w:p>
    <w:p w14:paraId="47B6907A"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（八）公示5个工作日。</w:t>
      </w:r>
    </w:p>
    <w:p w14:paraId="41D17ED3"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（九）报市教育局审批。</w:t>
      </w:r>
    </w:p>
    <w:p w14:paraId="1CFB2AB6"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（十）办理相关手续。</w:t>
      </w:r>
    </w:p>
    <w:p w14:paraId="6AA25B96"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第十八条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 xml:space="preserve"> 考核引进、招考引进人员纳入区教育系统学校事业编制，按规定实行人员聘用制。其它引进人员，由用人单位与引进人才签订合同书，确定工作任务和福利待遇。</w:t>
      </w:r>
    </w:p>
    <w:p w14:paraId="71A070AA"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第十九条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 xml:space="preserve"> 优惠政策申报程序：</w:t>
      </w:r>
    </w:p>
    <w:p w14:paraId="330F2E88"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lastRenderedPageBreak/>
        <w:t>（一）个人向用人单位提出申请。</w:t>
      </w:r>
    </w:p>
    <w:p w14:paraId="6878EC26"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（二）用人单位审核同意后向区教育人才办申报。</w:t>
      </w:r>
    </w:p>
    <w:p w14:paraId="0208585B"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（三）区教育人才办初审。</w:t>
      </w:r>
    </w:p>
    <w:p w14:paraId="153259C7"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（四）区人才办复审。</w:t>
      </w:r>
    </w:p>
    <w:p w14:paraId="47AADC0B"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（五）区教育人才办协助向区相关职能部门办理兑现手续，相关经费从区引进和培育高层次人才专项资金中列支。</w:t>
      </w:r>
    </w:p>
    <w:p w14:paraId="00C87E0C" w14:textId="77777777" w:rsidR="00207D43" w:rsidRPr="00207D43" w:rsidRDefault="00207D43" w:rsidP="00207D43">
      <w:pPr>
        <w:widowControl/>
        <w:wordWrap w:val="0"/>
        <w:spacing w:before="240" w:after="240" w:line="338" w:lineRule="atLeast"/>
        <w:jc w:val="center"/>
        <w:rPr>
          <w:rFonts w:ascii="微软雅黑" w:eastAsia="微软雅黑" w:hAnsi="微软雅黑" w:cs="Times New Roman"/>
          <w:color w:val="000000"/>
          <w:kern w:val="0"/>
          <w:sz w:val="23"/>
          <w:szCs w:val="23"/>
        </w:rPr>
      </w:pPr>
      <w:r w:rsidRPr="00207D43">
        <w:rPr>
          <w:rFonts w:ascii="黑体" w:eastAsia="黑体" w:hAnsi="黑体" w:cs="Times New Roman" w:hint="eastAsia"/>
          <w:color w:val="000000"/>
          <w:kern w:val="0"/>
          <w:sz w:val="32"/>
          <w:szCs w:val="32"/>
        </w:rPr>
        <w:t>第五章  职责与义务</w:t>
      </w:r>
    </w:p>
    <w:p w14:paraId="269842FD"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第二十条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引进的省级“名校长”应履行以下职责和义务：</w:t>
      </w:r>
    </w:p>
    <w:p w14:paraId="3A4EB955"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（一）保持学校优势。全面准确地理解和执行党和国家有关教育法规、方针、政策，积极参与教育教学改革，所管理的学校管理水平高、教育质量好，各项竞赛成绩名列前茅。</w:t>
      </w:r>
    </w:p>
    <w:p w14:paraId="7928B38D"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（二）促进学校教师发展。为学校教师发展搭建平台，提供机会，落实经费；主动联系并积极引进名师。三年内至少带出1名以上省级特级教师或省级学科带头人培养对象。</w:t>
      </w:r>
    </w:p>
    <w:p w14:paraId="297D1D43"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（三）促进学校管理干部成长。积极开展学校管理队伍干部培训，每年为中小学校长、中层干部或教职工做1—2场次的专题讲座；与区内1—2所学校的校长结对子，开</w:t>
      </w:r>
      <w:r w:rsidRPr="00207D43">
        <w:rPr>
          <w:rFonts w:ascii="仿宋_GB2312" w:eastAsia="仿宋_GB2312" w:hAnsi="微软雅黑" w:cs="Times New Roman" w:hint="eastAsia"/>
          <w:color w:val="000000"/>
          <w:kern w:val="0"/>
          <w:sz w:val="32"/>
          <w:szCs w:val="32"/>
        </w:rPr>
        <w:lastRenderedPageBreak/>
        <w:t>展“传、帮、带”活动，使他们的学校管理水平不断提高，学校教育质量不断提升。</w:t>
      </w:r>
    </w:p>
    <w:p w14:paraId="3FD862B0"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四）促进学校内涵发展。主动与市内外的名校学校结对子，构建学校间的交流、合作和互动平台，在学校管理、课程研发、课堂教学、德育工作、文化建设、校本研修、后勤保障等各个方面进行深层次的学习、交流和研讨。</w:t>
      </w:r>
    </w:p>
    <w:p w14:paraId="6B4EE17C"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五）加强教育教学科研。针对学校现状或全区教育发展，就学校管理、课程研发、课堂教学、德育工作、文化建设、队伍建设等方面申报并主持1项市级以上教育科研课题。加强对教育的调研，每年至少向区教育局书面提供1份促进我区教育发展的报告或建议。</w:t>
      </w:r>
    </w:p>
    <w:p w14:paraId="4C2D534C"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六）主动探求自我发展。努力提高自身的教育管理理论水平和学校管理能力，不断探索学习，总结新经验，形成先进的教育理念和教育思想。每年至少撰写1篇论文在公开发行的刊物发表或在区级以上教育部门组织的论文评比中获一等奖以上。</w:t>
      </w:r>
    </w:p>
    <w:p w14:paraId="01E17131"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第二十一条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引进的省级“名教师”应履行以下职责和义务：</w:t>
      </w:r>
    </w:p>
    <w:p w14:paraId="40C00B77"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（一）忠诚人民的教育事业，全面贯彻党的教育方针，认真实施素质教育，模范履行教师职责，敬业奉献，师德高尚。</w:t>
      </w:r>
    </w:p>
    <w:p w14:paraId="2284A396"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lastRenderedPageBreak/>
        <w:t>（二）自觉学习进修，掌握先进的教育教学理论和方法，不断提高教学质量。在教学工作中尤其在课堂教学创新方面发挥示范作用，任教班级学生教育教学业绩明显优于区内同类班级，受到师生和家长的广泛认同。每年向学校或区教育局提交1项以上学科建设的调研报告或政策建议。</w:t>
      </w:r>
    </w:p>
    <w:p w14:paraId="55846352"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三）积极开展听课评课活动，主动承担示范课、观摩课、学术讲座等研训任务。每年在校内外听课评课不少于15节（其中校外不少于2节）、上示范课或观摩课不少于2节（其中校外1节）、开设专题学术讲座2场次（其中校外1场次）。</w:t>
      </w:r>
    </w:p>
    <w:p w14:paraId="52E3129C"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（四）公开教学资源。在区学科资源网上的名师课堂中定期上传教学资源，包括教学设计、单元以上训练题、教学论文（总结）、教学反思等，形成具有个性的一套教学资源。</w:t>
      </w:r>
    </w:p>
    <w:p w14:paraId="6C4DD1FF"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五）主动承担科研课题。至少主持1项市级以上的教育教学科研课题，积极撰写有较高水平的专业论文、经验总结或科研报告。每年至少撰写1篇论文在公开发行的刊物发表或在区级以上教育部门组织的论文评比中获一等奖以上。</w:t>
      </w:r>
    </w:p>
    <w:p w14:paraId="007E0FFD"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（六）积极开展教师带教工作。每年与1—2名的骨干教师或优秀青年教师结对子，开展“传、帮、带”活动，</w:t>
      </w:r>
      <w:r w:rsidRPr="00207D43">
        <w:rPr>
          <w:rFonts w:ascii="仿宋_GB2312" w:eastAsia="仿宋_GB2312" w:hAnsi="微软雅黑" w:cs="Times New Roman" w:hint="eastAsia"/>
          <w:color w:val="000000"/>
          <w:kern w:val="0"/>
          <w:sz w:val="32"/>
          <w:szCs w:val="32"/>
        </w:rPr>
        <w:lastRenderedPageBreak/>
        <w:t>所培养的对象应在两年内分别在区级以上教学评比或学术研究上取得较好成绩。</w:t>
      </w:r>
    </w:p>
    <w:p w14:paraId="7F380332"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第二十二条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引进的市级“名教师”应履行以下职责和义务：</w:t>
      </w:r>
    </w:p>
    <w:p w14:paraId="22DF8E67"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（一）忠诚人民的教育事业，全面贯彻党的教育方针，认真实施素质教育，模范履行教师职责，敬业奉献，师德高尚。</w:t>
      </w:r>
    </w:p>
    <w:p w14:paraId="7566C062"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二）自觉学习进修，掌握先进的教育教学理论和方法，不断提高教学质量。在教学工作中尤其在课堂教学创新方面发挥示范作用，任教班级学生教育教学业绩明显优于区内同类班级，受到师生和家长的广泛认同。每年向学校或区教育局提交1项以上学科教学或校本研训的建议。</w:t>
      </w:r>
    </w:p>
    <w:p w14:paraId="01EF6DEF"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三）积极开展听课评课活动，主动承担示范课、观摩课、学术讲座等研训任务。每年在校内外听课评课不少于15节（其中校外不少于2节）、上示范课或观摩课不少于2节（其中校外1节）、开设专题学术讲座2场次（其中校外1场次）。</w:t>
      </w:r>
    </w:p>
    <w:p w14:paraId="595926E4"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（四）公开教学资源。在区学科资源网上的名师课堂中定期上传教学资源，包括教学设计、单元以上训练题、教学论文（总结）、教学反思等，形成具有个性的一套教学资源。</w:t>
      </w:r>
    </w:p>
    <w:p w14:paraId="4C35D418"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lastRenderedPageBreak/>
        <w:t>（五）主动承担科研课题。至少主持1项区级以上的教育教学科研课题，积极撰写有较高水平的专业论文、经验总结或科研报告。每年至少撰写1篇论文在公开发行的刊物发表或在区级以上教育部门组织的论文评比中获一等奖以上。</w:t>
      </w:r>
    </w:p>
    <w:p w14:paraId="48167057"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（六）积极开展教师带教工作。每年与1—2名的骨干教师或优秀青年教师结对子，开展“传、帮、带”活动，所培养的对象应在两年内分别在区级以上教学评比或学术研究上取得较好成绩。</w:t>
      </w:r>
    </w:p>
    <w:p w14:paraId="1FE0885B"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第二十三条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柔性引进的高层次教育人才应按与用人单位签订的合同履行相应的职责和义务。</w:t>
      </w:r>
    </w:p>
    <w:p w14:paraId="03DBE13B"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对柔性引进的高层次教育人才实行适度宽松和相对弹性的原则，采取实地指导和通讯指导相结合的工作方式。</w:t>
      </w:r>
    </w:p>
    <w:p w14:paraId="255C4391"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柔性引进的高层次教育人才应履行的基本职责和义务：</w:t>
      </w:r>
    </w:p>
    <w:p w14:paraId="5F98CED1"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（一）首席教育专家。</w:t>
      </w:r>
      <w:r w:rsidRPr="00207D43">
        <w:rPr>
          <w:rFonts w:ascii="仿宋_GB2312" w:eastAsia="仿宋_GB2312" w:hAnsi="微软雅黑" w:cs="Times New Roman" w:hint="eastAsia"/>
          <w:color w:val="333333"/>
          <w:kern w:val="0"/>
          <w:sz w:val="32"/>
          <w:szCs w:val="32"/>
        </w:rPr>
        <w:t>通过调查研究、走访师生、听课评课、召开会议、评价反馈、开设讲座等方式，对学校的教育教学、课程改革、教学研究、教育科研、质量监控和师资培训等工作实施全面的引领和指导，并完成如下任务要求：</w:t>
      </w:r>
    </w:p>
    <w:p w14:paraId="04430A29"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1.每年为学校提供一份《学校教育教学工作调研报告》，对学校的教育教学、课程改革、教学研究、教育科</w:t>
      </w:r>
      <w:r w:rsidRPr="00207D43">
        <w:rPr>
          <w:rFonts w:ascii="仿宋_GB2312" w:eastAsia="仿宋_GB2312" w:hAnsi="微软雅黑" w:cs="Times New Roman" w:hint="eastAsia"/>
          <w:color w:val="333333"/>
          <w:kern w:val="0"/>
          <w:sz w:val="32"/>
          <w:szCs w:val="32"/>
        </w:rPr>
        <w:lastRenderedPageBreak/>
        <w:t>研、质量监控和师资培训等工作给予诊断评价，并提出有针对性、建设性的意见和建议。</w:t>
      </w:r>
    </w:p>
    <w:p w14:paraId="1AE97F65"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2.每年听取学校教育教学工作汇报达2次以上，并给予提供专业引领和指导。</w:t>
      </w:r>
    </w:p>
    <w:p w14:paraId="0AC8F786"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3.每年为学校全体教师开设教育教学理论专题讲座达4场次以上，引领全校教师更新教育教学理念，了解教育教学改革的前沿信息和动态，解决教育教学实际工作中存在的问题。</w:t>
      </w:r>
    </w:p>
    <w:p w14:paraId="5ACC7B23"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4.每年到学校听课达20节以上，并以集中点评或个别交流的方式，指导教师改进教学，提高课堂教学质量。</w:t>
      </w:r>
    </w:p>
    <w:p w14:paraId="719CD50A"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5.每年为学校重点培养8—10名的骨干教师和学科带头人，成立以重点培养对象为成员的“骨干教师合作研修室”，引领和指导“骨干教师合作研修室”成员开展读书交流、听课评课、专题研讨、课题研究等活动，提高教育教学理论水平和教育教学实践能力。</w:t>
      </w:r>
    </w:p>
    <w:p w14:paraId="28A5CCFB"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6.每年指导学校开展一次教育教学科研论文评选表彰和交流研讨活动，并汇编一本《教育教学科研论文专辑》，对教师撰写的论文给予点评、指导，促进教师增强科研意识，提高科研能力。</w:t>
      </w:r>
    </w:p>
    <w:p w14:paraId="7BB585D5"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7.在聘任期内，指导学校围绕“内涵发展和创办特色”开展课题研究，促进学校提高办学水平和办学质量。</w:t>
      </w:r>
    </w:p>
    <w:p w14:paraId="7DDC359C"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lastRenderedPageBreak/>
        <w:t>8.在聘任期内，根据学校的实际需要，为学校提供解决相关问题的专家资源。</w:t>
      </w:r>
    </w:p>
    <w:p w14:paraId="04019DFB"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9.在聘任期内，根据学校的实际需要，带领部分学校行政领导或骨干教师外出学习交流。</w:t>
      </w:r>
    </w:p>
    <w:p w14:paraId="4D1666D9"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在聘任期内，原则上每学期到学校进行实地指导3-4次（每次5-7天）或5-6次（每次3-5天），如遇突击任务（如大型活动、迎检、评估等）可适当进行调整。非到校时间通过邮件、电话等对学校发展指导，履行首席教育专家职责。每年的具体工作计划在上述职责范围内由学校主动提出，经双方协商后共同确定。</w:t>
      </w:r>
    </w:p>
    <w:p w14:paraId="6F74634D"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（二）学校发展顾问。</w:t>
      </w:r>
      <w:r w:rsidRPr="00207D43">
        <w:rPr>
          <w:rFonts w:ascii="仿宋_GB2312" w:eastAsia="仿宋_GB2312" w:hAnsi="微软雅黑" w:cs="Times New Roman" w:hint="eastAsia"/>
          <w:color w:val="333333"/>
          <w:kern w:val="0"/>
          <w:sz w:val="32"/>
          <w:szCs w:val="32"/>
        </w:rPr>
        <w:t>通过调查研究、走访师生、听课评课、召开会议、评价反馈、主题研讨、开设讲座等方式，</w:t>
      </w:r>
      <w:r w:rsidRPr="00207D43">
        <w:rPr>
          <w:rFonts w:ascii="仿宋_GB2312" w:eastAsia="仿宋_GB2312" w:hAnsi="微软雅黑" w:cs="Times New Roman" w:hint="eastAsia"/>
          <w:color w:val="000000"/>
          <w:kern w:val="0"/>
          <w:sz w:val="32"/>
          <w:szCs w:val="32"/>
        </w:rPr>
        <w:t>全面指导学校管理工作，深入指导教育教学工作，引领教师队伍专业成长，引进全国各地优质教育资源，</w:t>
      </w:r>
      <w:r w:rsidRPr="00207D43">
        <w:rPr>
          <w:rFonts w:ascii="仿宋_GB2312" w:eastAsia="仿宋_GB2312" w:hAnsi="微软雅黑" w:cs="Times New Roman" w:hint="eastAsia"/>
          <w:color w:val="333333"/>
          <w:kern w:val="0"/>
          <w:sz w:val="32"/>
          <w:szCs w:val="32"/>
        </w:rPr>
        <w:t>促进学校高品味发展，并完成如下任务要求：</w:t>
      </w:r>
    </w:p>
    <w:p w14:paraId="5F128452"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 </w:t>
      </w:r>
      <w:r w:rsidRPr="00207D43">
        <w:rPr>
          <w:rFonts w:ascii="仿宋_GB2312" w:eastAsia="仿宋_GB2312" w:hAnsi="微软雅黑" w:cs="Times New Roman" w:hint="eastAsia"/>
          <w:color w:val="333333"/>
          <w:kern w:val="0"/>
          <w:sz w:val="32"/>
          <w:szCs w:val="32"/>
        </w:rPr>
        <w:t>1.每年为学校提供一份《学校教育教学工作调研报告》，对学校的教育教学、课程改革、教学研究、教育科研、质量监控和师资培训等工作给予诊断评价，并提出有针对性、建设性的意见和建议。</w:t>
      </w:r>
    </w:p>
    <w:p w14:paraId="646B27A9"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2.每年听取学校教育教学工作汇报达2次以上，并给予提供专业引领和指导。</w:t>
      </w:r>
    </w:p>
    <w:p w14:paraId="7DDD717B"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lastRenderedPageBreak/>
        <w:t>3.每年为学校全体教师或某个学科教师开设教育教学理论专题讲座达2场次以上，引领教师更新教育教学理念，解决教育教学实际工作中存在的问题。</w:t>
      </w:r>
    </w:p>
    <w:p w14:paraId="33577BE3"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4.每年到学校听课达80节以上，并以集中点评或个别交流的方式，指导教师改进教学，提高课堂教学质量。</w:t>
      </w:r>
    </w:p>
    <w:p w14:paraId="3E388536"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5.每年召开师生座谈会达4场以上（其中：教师座谈会达2场以上，学生座谈会达2场以上），认真了解、收集和分析教育教学工作中存在的问题，并及时向学校提出有针对性的意见和建议。</w:t>
      </w:r>
    </w:p>
    <w:p w14:paraId="195B48FA"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6.每年为学校重点培养2名以上的优秀青年教师或骨干教师、学科带头人，成立以重点培养对象为成员的“骨干教师合作研修室”，引领和指导“骨干教师合作研修室”成员开展读书交流、听课评课、专题研讨、课题研究等活动，提高教育教学理论水平和教育教学实践能力。</w:t>
      </w:r>
    </w:p>
    <w:p w14:paraId="5E0B68EC"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7.每年指导学校或某个学科开展大型的教育教学研讨活动（含专家讲座、课堂教学观摩、教育教学论坛、教学成果展示、对外交流等）1场次以上，并对集美区所有学校开放，促进区域内学校“资源共享，交流互动，共同发展”，提高学校影响力。</w:t>
      </w:r>
    </w:p>
    <w:p w14:paraId="76C51839"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8.每年指导学校开展一次教育教学科研论文评选表彰和交流研讨活动，并汇编一本《教育教学科研论文专辑》，</w:t>
      </w:r>
      <w:r w:rsidRPr="00207D43">
        <w:rPr>
          <w:rFonts w:ascii="仿宋_GB2312" w:eastAsia="仿宋_GB2312" w:hAnsi="微软雅黑" w:cs="Times New Roman" w:hint="eastAsia"/>
          <w:color w:val="333333"/>
          <w:kern w:val="0"/>
          <w:sz w:val="32"/>
          <w:szCs w:val="32"/>
        </w:rPr>
        <w:lastRenderedPageBreak/>
        <w:t>对教师撰写的论文给予点评、指导，促进教师增强科研意识，提高科研能力。</w:t>
      </w:r>
    </w:p>
    <w:p w14:paraId="023F3188"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9.在聘任期内，指导学校围绕“内涵发展和创办特色”、“校园文化建设”等要求开展课题研究，积极</w:t>
      </w:r>
      <w:r w:rsidRPr="00207D43">
        <w:rPr>
          <w:rFonts w:ascii="仿宋_GB2312" w:eastAsia="仿宋_GB2312" w:hAnsi="微软雅黑" w:cs="Times New Roman" w:hint="eastAsia"/>
          <w:color w:val="000000"/>
          <w:kern w:val="0"/>
          <w:sz w:val="32"/>
          <w:szCs w:val="32"/>
        </w:rPr>
        <w:t>为学校的发展发展建言献策，</w:t>
      </w:r>
      <w:r w:rsidRPr="00207D43">
        <w:rPr>
          <w:rFonts w:ascii="仿宋_GB2312" w:eastAsia="仿宋_GB2312" w:hAnsi="微软雅黑" w:cs="Times New Roman" w:hint="eastAsia"/>
          <w:color w:val="333333"/>
          <w:kern w:val="0"/>
          <w:sz w:val="32"/>
          <w:szCs w:val="32"/>
        </w:rPr>
        <w:t>促进学校提高办学水平和办学质量。</w:t>
      </w:r>
    </w:p>
    <w:p w14:paraId="4D5BD465"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10.在聘任期内，根据学校的实际需要，为学校提供解决相关问题的专家资源。</w:t>
      </w:r>
    </w:p>
    <w:p w14:paraId="56F0040E"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11.在聘任期间，根据学校的实际需要，带领部分学校行政领导或骨干教师外出学习交流。</w:t>
      </w:r>
    </w:p>
    <w:p w14:paraId="50D86401" w14:textId="77777777" w:rsidR="00207D43" w:rsidRPr="00207D43" w:rsidRDefault="00207D43" w:rsidP="00207D43">
      <w:pPr>
        <w:widowControl/>
        <w:wordWrap w:val="0"/>
        <w:spacing w:line="338" w:lineRule="atLeast"/>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在聘任期内，原则上每周至少到学校进行实地指导3天时间，如遇突击任务（如大型活动、迎检、评估等）可适当进行调整。每年的具体工作计划在上述职责范围内由学校发展顾问个人主动提出，经双方协商后共同确定。</w:t>
      </w:r>
    </w:p>
    <w:p w14:paraId="188148D1"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（三）学科教学导师。</w:t>
      </w:r>
      <w:r w:rsidRPr="00207D43">
        <w:rPr>
          <w:rFonts w:ascii="仿宋_GB2312" w:eastAsia="仿宋_GB2312" w:hAnsi="微软雅黑" w:cs="Times New Roman" w:hint="eastAsia"/>
          <w:color w:val="333333"/>
          <w:kern w:val="0"/>
          <w:sz w:val="32"/>
          <w:szCs w:val="32"/>
        </w:rPr>
        <w:t>通过调查研究、走访师生、听课评课、召开会议、评价反馈、主题研讨、开设讲座等方式，对</w:t>
      </w:r>
      <w:r w:rsidRPr="00207D43">
        <w:rPr>
          <w:rFonts w:ascii="仿宋_GB2312" w:eastAsia="仿宋_GB2312" w:hAnsi="微软雅黑" w:cs="Times New Roman" w:hint="eastAsia"/>
          <w:color w:val="000000"/>
          <w:kern w:val="0"/>
          <w:sz w:val="32"/>
          <w:szCs w:val="32"/>
        </w:rPr>
        <w:t>学科的课堂教学、校本研训、教改试验、课题研究、质量监控和名师培养进行全面引领和指导，</w:t>
      </w:r>
      <w:r w:rsidRPr="00207D43">
        <w:rPr>
          <w:rFonts w:ascii="仿宋_GB2312" w:eastAsia="仿宋_GB2312" w:hAnsi="微软雅黑" w:cs="Times New Roman" w:hint="eastAsia"/>
          <w:color w:val="333333"/>
          <w:kern w:val="0"/>
          <w:sz w:val="32"/>
          <w:szCs w:val="32"/>
        </w:rPr>
        <w:t>并完成如下任务要求：</w:t>
      </w:r>
    </w:p>
    <w:p w14:paraId="32D33439"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1.每年为学校提供一份《关于改进××学科教学工作的报告》，对学校该学科的课堂教学、校本研训、教改试验、课题研究、质量监控和名师培养等工作给予诊断评</w:t>
      </w:r>
      <w:r w:rsidRPr="00207D43">
        <w:rPr>
          <w:rFonts w:ascii="仿宋_GB2312" w:eastAsia="仿宋_GB2312" w:hAnsi="微软雅黑" w:cs="Times New Roman" w:hint="eastAsia"/>
          <w:color w:val="333333"/>
          <w:kern w:val="0"/>
          <w:sz w:val="32"/>
          <w:szCs w:val="32"/>
        </w:rPr>
        <w:lastRenderedPageBreak/>
        <w:t>价，分析总结主要经验和问题，并提出有针对性、建设性的意见和建议。</w:t>
      </w:r>
    </w:p>
    <w:p w14:paraId="6B872E52"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2.每年到学校听课达80节以上，并以集中点评或个别交流的方式，指导教师改进教学，提高课堂教学质量。</w:t>
      </w:r>
    </w:p>
    <w:p w14:paraId="3C08E1CC"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3.每年为学校全体教师或某个学科教师开设教育教学理论专题讲座达2场次以上，引领教师更新教育教学理念，解决教育教学实际工作中存在的问题。</w:t>
      </w:r>
    </w:p>
    <w:p w14:paraId="3BCB1910"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4.每年为学校重点培养2名以上的优秀青年教师或骨干教师、学科带头人，成立以重点培养对象为成员的“骨干教师合作研修室”，引领和指导“骨干教师合作研修室”成员开展读书交流、听课评课、专题研讨、课题研究等活动，提高教育教学理论水平和教育教学实践能力。</w:t>
      </w:r>
    </w:p>
    <w:p w14:paraId="798D5F5D"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5.每年指导学校或某个学科开展大型的教育教学研讨活动（含专家讲座、课堂教学观摩、教育教学论坛、教学成果展示、对外交流等）2场次以上，并对集美区所有学校开放，促进区域内学校“资源共享，交流互动，共同发展”，提高学校影响力。</w:t>
      </w:r>
    </w:p>
    <w:p w14:paraId="3F9069D9"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6.每年指导学校开展一次教育教学科研论文评选表彰和交流研讨活动，并汇编一本《教育教学科研论文专辑》，对教师撰写的论文给予点评、指导，促进教师增强科研意识，提高科研能力。</w:t>
      </w:r>
    </w:p>
    <w:p w14:paraId="22397570"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lastRenderedPageBreak/>
        <w:t>7.在聘任期内，指导学校或某个学科根据教学改革发展形势和学科教学工作实际开展课题研究，促进学校提高办学水平和办学质量。</w:t>
      </w:r>
    </w:p>
    <w:p w14:paraId="115B07BB"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8.在聘任期内，根据学校的实际需要，为学校提供解决相关问题的专家资源。</w:t>
      </w:r>
    </w:p>
    <w:p w14:paraId="6C4453B1"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333333"/>
          <w:kern w:val="0"/>
          <w:sz w:val="32"/>
          <w:szCs w:val="32"/>
        </w:rPr>
        <w:t>9.在聘任期内，根据学校的实际需要，带领部分学校行政领导或骨干教师外出学习交流。</w:t>
      </w:r>
    </w:p>
    <w:p w14:paraId="144BA770"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在聘任期内，原则上每周至少到学校进行实地指导3天时间，如遇突击任务（如大型活动、迎检、评估等）可适当进行调整。每年的具体工作计划在上述职责范围内由学科教学导师个人主动提出，经双方协商后共同确定。</w:t>
      </w:r>
    </w:p>
    <w:p w14:paraId="35632A29" w14:textId="77777777" w:rsidR="00207D43" w:rsidRPr="00207D43" w:rsidRDefault="00207D43" w:rsidP="00207D43">
      <w:pPr>
        <w:widowControl/>
        <w:wordWrap w:val="0"/>
        <w:spacing w:before="240" w:after="240" w:line="338" w:lineRule="atLeast"/>
        <w:jc w:val="center"/>
        <w:rPr>
          <w:rFonts w:ascii="微软雅黑" w:eastAsia="微软雅黑" w:hAnsi="微软雅黑" w:cs="Times New Roman"/>
          <w:color w:val="000000"/>
          <w:kern w:val="0"/>
          <w:sz w:val="23"/>
          <w:szCs w:val="23"/>
        </w:rPr>
      </w:pPr>
      <w:r w:rsidRPr="00207D43">
        <w:rPr>
          <w:rFonts w:ascii="黑体" w:eastAsia="黑体" w:hAnsi="黑体" w:cs="Times New Roman" w:hint="eastAsia"/>
          <w:color w:val="000000"/>
          <w:kern w:val="0"/>
          <w:sz w:val="32"/>
          <w:szCs w:val="32"/>
        </w:rPr>
        <w:t>第六章  后续管理</w:t>
      </w:r>
    </w:p>
    <w:p w14:paraId="385542C2"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第二十四条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引进（不含柔性引进）人才与用人单位签订人事聘用合同，合同期限不得少于10年，原则上要在本区服务到退休，如中途违约或解除劳动关系，自然终止其享受相关政策待遇，退回已领取的安家补贴。</w:t>
      </w:r>
    </w:p>
    <w:p w14:paraId="39EEDA7A"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第二十五条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 xml:space="preserve"> 区教育人才办要定期走访引进人才所在单位，每半年不少于一次，及时了解引进人才的工作情况，帮助申请兑现优惠政策，协调解决困难问题。</w:t>
      </w:r>
    </w:p>
    <w:p w14:paraId="1B405789"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第二十六条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引进人才所在单位每年对引进人才发挥作用的情况进行考核评估并将考核评估结果报区教育人才办</w:t>
      </w:r>
      <w:r w:rsidRPr="00207D43">
        <w:rPr>
          <w:rFonts w:ascii="仿宋_GB2312" w:eastAsia="仿宋_GB2312" w:hAnsi="微软雅黑" w:cs="Times New Roman" w:hint="eastAsia"/>
          <w:color w:val="000000"/>
          <w:kern w:val="0"/>
          <w:sz w:val="32"/>
          <w:szCs w:val="32"/>
        </w:rPr>
        <w:lastRenderedPageBreak/>
        <w:t>（对于引进的省级“名校长”由区教育人才办进行考核评估），考核评估不合格的，终止其享受本细则规定的各项优惠政策。</w:t>
      </w:r>
    </w:p>
    <w:p w14:paraId="0E6AD4C0"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第二十七条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 xml:space="preserve"> 引进人才有严重违法违规行为或弄虚作假骗取优惠政策的，终止享受相关政策待遇，退回已发放的安家补贴，并依法追究其相应法律责任。</w:t>
      </w:r>
    </w:p>
    <w:p w14:paraId="33708325" w14:textId="77777777" w:rsidR="00207D43" w:rsidRPr="00207D43" w:rsidRDefault="00207D43" w:rsidP="00207D43">
      <w:pPr>
        <w:widowControl/>
        <w:wordWrap w:val="0"/>
        <w:spacing w:before="240" w:after="240" w:line="338" w:lineRule="atLeast"/>
        <w:jc w:val="center"/>
        <w:rPr>
          <w:rFonts w:ascii="微软雅黑" w:eastAsia="微软雅黑" w:hAnsi="微软雅黑" w:cs="Times New Roman"/>
          <w:color w:val="000000"/>
          <w:kern w:val="0"/>
          <w:sz w:val="23"/>
          <w:szCs w:val="23"/>
        </w:rPr>
      </w:pPr>
      <w:r w:rsidRPr="00207D43">
        <w:rPr>
          <w:rFonts w:ascii="黑体" w:eastAsia="黑体" w:hAnsi="黑体" w:cs="Times New Roman" w:hint="eastAsia"/>
          <w:color w:val="000000"/>
          <w:kern w:val="0"/>
          <w:sz w:val="32"/>
          <w:szCs w:val="32"/>
        </w:rPr>
        <w:t>第七章  附  则</w:t>
      </w:r>
    </w:p>
    <w:p w14:paraId="7E640186"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第二十八条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本区教育系统对具有高级技师职业资格的岗位技术人员的引进和培育参照《集美区高技能人才引进和培育的实施细则》执行。</w:t>
      </w:r>
    </w:p>
    <w:p w14:paraId="5D9B5EC6"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第二十九条</w:t>
      </w:r>
      <w:r w:rsidRPr="00207D43">
        <w:rPr>
          <w:rFonts w:ascii="仿宋_GB2312" w:eastAsia="仿宋_GB2312" w:hAnsi="微软雅黑" w:cs="Times New Roman" w:hint="eastAsia"/>
          <w:color w:val="000000"/>
          <w:kern w:val="0"/>
          <w:sz w:val="32"/>
          <w:szCs w:val="32"/>
        </w:rPr>
        <w:t>  </w:t>
      </w:r>
      <w:r w:rsidRPr="00207D43">
        <w:rPr>
          <w:rFonts w:ascii="仿宋_GB2312" w:eastAsia="仿宋_GB2312" w:hAnsi="微软雅黑" w:cs="Times New Roman" w:hint="eastAsia"/>
          <w:color w:val="000000"/>
          <w:kern w:val="0"/>
          <w:sz w:val="32"/>
          <w:szCs w:val="32"/>
        </w:rPr>
        <w:t>本细则自发文之日起执行，由区教育人才办负责解释。</w:t>
      </w:r>
    </w:p>
    <w:p w14:paraId="2C8FBDC1" w14:textId="77777777" w:rsidR="00207D43" w:rsidRPr="00207D43" w:rsidRDefault="00207D43" w:rsidP="00207D43">
      <w:pPr>
        <w:widowControl/>
        <w:wordWrap w:val="0"/>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 </w:t>
      </w:r>
    </w:p>
    <w:p w14:paraId="216F5734" w14:textId="4938BAC0" w:rsidR="00207D43" w:rsidRPr="00731959" w:rsidRDefault="00207D43" w:rsidP="00731959">
      <w:pPr>
        <w:widowControl/>
        <w:ind w:firstLine="640"/>
        <w:jc w:val="right"/>
        <w:rPr>
          <w:rFonts w:ascii="仿宋_GB2312" w:eastAsia="仿宋_GB2312" w:hAnsi="微软雅黑" w:cs="Times New Roman"/>
          <w:color w:val="000000"/>
          <w:kern w:val="0"/>
          <w:sz w:val="32"/>
          <w:szCs w:val="32"/>
        </w:rPr>
      </w:pPr>
      <w:bookmarkStart w:id="0" w:name="_GoBack"/>
      <w:r w:rsidRPr="00207D43">
        <w:rPr>
          <w:rFonts w:ascii="仿宋_GB2312" w:eastAsia="仿宋_GB2312" w:hAnsi="微软雅黑" w:cs="Times New Roman" w:hint="eastAsia"/>
          <w:color w:val="000000"/>
          <w:kern w:val="0"/>
          <w:sz w:val="32"/>
          <w:szCs w:val="32"/>
        </w:rPr>
        <w:t> </w:t>
      </w:r>
      <w:r w:rsidR="00731959" w:rsidRPr="00731959">
        <w:rPr>
          <w:rFonts w:ascii="仿宋_GB2312" w:eastAsia="仿宋_GB2312" w:hAnsi="微软雅黑" w:cs="Times New Roman"/>
          <w:color w:val="000000"/>
          <w:kern w:val="0"/>
          <w:sz w:val="32"/>
          <w:szCs w:val="32"/>
        </w:rPr>
        <w:t>2017年6月30日印发</w:t>
      </w:r>
    </w:p>
    <w:bookmarkEnd w:id="0"/>
    <w:p w14:paraId="4771214F"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 </w:t>
      </w:r>
    </w:p>
    <w:p w14:paraId="5A17AF1C" w14:textId="77777777" w:rsidR="00207D43" w:rsidRPr="00207D43" w:rsidRDefault="00207D43" w:rsidP="00207D43">
      <w:pPr>
        <w:widowControl/>
        <w:wordWrap w:val="0"/>
        <w:spacing w:line="338" w:lineRule="atLeast"/>
        <w:ind w:firstLine="640"/>
        <w:jc w:val="left"/>
        <w:rPr>
          <w:rFonts w:ascii="微软雅黑" w:eastAsia="微软雅黑" w:hAnsi="微软雅黑" w:cs="Times New Roman"/>
          <w:color w:val="000000"/>
          <w:kern w:val="0"/>
          <w:sz w:val="23"/>
          <w:szCs w:val="23"/>
        </w:rPr>
      </w:pPr>
      <w:r w:rsidRPr="00207D43">
        <w:rPr>
          <w:rFonts w:ascii="仿宋_GB2312" w:eastAsia="仿宋_GB2312" w:hAnsi="微软雅黑" w:cs="Times New Roman" w:hint="eastAsia"/>
          <w:color w:val="000000"/>
          <w:kern w:val="0"/>
          <w:sz w:val="32"/>
          <w:szCs w:val="32"/>
        </w:rPr>
        <w:t> </w:t>
      </w:r>
    </w:p>
    <w:p w14:paraId="59A5B616" w14:textId="77777777" w:rsidR="00207D43" w:rsidRPr="00207D43" w:rsidRDefault="00207D43" w:rsidP="00207D43">
      <w:pPr>
        <w:widowControl/>
        <w:wordWrap w:val="0"/>
        <w:spacing w:line="338" w:lineRule="atLeast"/>
        <w:jc w:val="left"/>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sz w:val="36"/>
          <w:szCs w:val="36"/>
        </w:rPr>
        <w:br w:type="textWrapping" w:clear="all"/>
      </w:r>
      <w:r w:rsidRPr="00207D43">
        <w:rPr>
          <w:rFonts w:ascii="黑体" w:eastAsia="黑体" w:hAnsi="黑体" w:cs="Times New Roman" w:hint="eastAsia"/>
          <w:color w:val="000000"/>
          <w:kern w:val="0"/>
          <w:sz w:val="32"/>
          <w:szCs w:val="32"/>
        </w:rPr>
        <w:t>附件1：</w:t>
      </w:r>
    </w:p>
    <w:p w14:paraId="45475FEE" w14:textId="77777777" w:rsidR="00207D43" w:rsidRPr="00207D43" w:rsidRDefault="00207D43" w:rsidP="00207D43">
      <w:pPr>
        <w:widowControl/>
        <w:wordWrap w:val="0"/>
        <w:jc w:val="center"/>
        <w:rPr>
          <w:rFonts w:ascii="微软雅黑" w:eastAsia="微软雅黑" w:hAnsi="微软雅黑" w:cs="Times New Roman"/>
          <w:color w:val="000000"/>
          <w:kern w:val="0"/>
          <w:sz w:val="23"/>
          <w:szCs w:val="23"/>
        </w:rPr>
      </w:pPr>
      <w:r w:rsidRPr="00207D43">
        <w:rPr>
          <w:rFonts w:ascii="MS Mincho" w:eastAsia="MS Mincho" w:hAnsi="MS Mincho" w:cs="MS Mincho"/>
          <w:b/>
          <w:bCs/>
          <w:color w:val="000000"/>
          <w:kern w:val="0"/>
          <w:sz w:val="36"/>
          <w:szCs w:val="36"/>
        </w:rPr>
        <w:t>集美区高</w:t>
      </w:r>
      <w:r w:rsidRPr="00207D43">
        <w:rPr>
          <w:rFonts w:ascii="宋体" w:eastAsia="宋体" w:hAnsi="宋体" w:cs="宋体"/>
          <w:b/>
          <w:bCs/>
          <w:color w:val="000000"/>
          <w:kern w:val="0"/>
          <w:sz w:val="36"/>
          <w:szCs w:val="36"/>
        </w:rPr>
        <w:t>层</w:t>
      </w:r>
      <w:r w:rsidRPr="00207D43">
        <w:rPr>
          <w:rFonts w:ascii="MS Mincho" w:eastAsia="MS Mincho" w:hAnsi="MS Mincho" w:cs="MS Mincho"/>
          <w:b/>
          <w:bCs/>
          <w:color w:val="000000"/>
          <w:kern w:val="0"/>
          <w:sz w:val="36"/>
          <w:szCs w:val="36"/>
        </w:rPr>
        <w:t>次教育人才引</w:t>
      </w:r>
      <w:r w:rsidRPr="00207D43">
        <w:rPr>
          <w:rFonts w:ascii="宋体" w:eastAsia="宋体" w:hAnsi="宋体" w:cs="宋体"/>
          <w:b/>
          <w:bCs/>
          <w:color w:val="000000"/>
          <w:kern w:val="0"/>
          <w:sz w:val="36"/>
          <w:szCs w:val="36"/>
        </w:rPr>
        <w:t>进</w:t>
      </w:r>
      <w:r w:rsidRPr="00207D43">
        <w:rPr>
          <w:rFonts w:ascii="MS Mincho" w:eastAsia="MS Mincho" w:hAnsi="MS Mincho" w:cs="MS Mincho"/>
          <w:b/>
          <w:bCs/>
          <w:color w:val="000000"/>
          <w:kern w:val="0"/>
          <w:sz w:val="36"/>
          <w:szCs w:val="36"/>
        </w:rPr>
        <w:t>申</w:t>
      </w:r>
      <w:r w:rsidRPr="00207D43">
        <w:rPr>
          <w:rFonts w:ascii="宋体" w:eastAsia="宋体" w:hAnsi="宋体" w:cs="宋体"/>
          <w:b/>
          <w:bCs/>
          <w:color w:val="000000"/>
          <w:kern w:val="0"/>
          <w:sz w:val="36"/>
          <w:szCs w:val="36"/>
        </w:rPr>
        <w:t>请</w:t>
      </w:r>
      <w:r w:rsidRPr="00207D43">
        <w:rPr>
          <w:rFonts w:ascii="MS Mincho" w:eastAsia="MS Mincho" w:hAnsi="MS Mincho" w:cs="MS Mincho"/>
          <w:b/>
          <w:bCs/>
          <w:color w:val="000000"/>
          <w:kern w:val="0"/>
          <w:sz w:val="36"/>
          <w:szCs w:val="36"/>
        </w:rPr>
        <w:t>表</w:t>
      </w:r>
    </w:p>
    <w:p w14:paraId="5E38038D" w14:textId="77777777" w:rsidR="00207D43" w:rsidRPr="00207D43" w:rsidRDefault="00207D43" w:rsidP="00207D43">
      <w:pPr>
        <w:widowControl/>
        <w:wordWrap w:val="0"/>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b/>
          <w:bCs/>
          <w:color w:val="000000"/>
          <w:kern w:val="0"/>
        </w:rPr>
        <w:t> </w:t>
      </w:r>
    </w:p>
    <w:tbl>
      <w:tblPr>
        <w:tblW w:w="8568" w:type="dxa"/>
        <w:jc w:val="center"/>
        <w:tblCellMar>
          <w:top w:w="15" w:type="dxa"/>
          <w:left w:w="15" w:type="dxa"/>
          <w:bottom w:w="15" w:type="dxa"/>
          <w:right w:w="15" w:type="dxa"/>
        </w:tblCellMar>
        <w:tblLook w:val="04A0" w:firstRow="1" w:lastRow="0" w:firstColumn="1" w:lastColumn="0" w:noHBand="0" w:noVBand="1"/>
      </w:tblPr>
      <w:tblGrid>
        <w:gridCol w:w="1202"/>
        <w:gridCol w:w="705"/>
        <w:gridCol w:w="15"/>
        <w:gridCol w:w="750"/>
        <w:gridCol w:w="990"/>
        <w:gridCol w:w="526"/>
        <w:gridCol w:w="419"/>
        <w:gridCol w:w="736"/>
        <w:gridCol w:w="629"/>
        <w:gridCol w:w="556"/>
        <w:gridCol w:w="2040"/>
      </w:tblGrid>
      <w:tr w:rsidR="00207D43" w:rsidRPr="00207D43" w14:paraId="1F802D76" w14:textId="77777777" w:rsidTr="00207D43">
        <w:trPr>
          <w:trHeight w:val="548"/>
          <w:jc w:val="center"/>
        </w:trPr>
        <w:tc>
          <w:tcPr>
            <w:tcW w:w="1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ED2D1D"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姓名</w:t>
            </w:r>
          </w:p>
        </w:tc>
        <w:tc>
          <w:tcPr>
            <w:tcW w:w="147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E872CD"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88DDF7"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性别</w:t>
            </w:r>
          </w:p>
        </w:tc>
        <w:tc>
          <w:tcPr>
            <w:tcW w:w="94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B82F1D"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136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F4320C"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出生年月</w:t>
            </w:r>
          </w:p>
        </w:tc>
        <w:tc>
          <w:tcPr>
            <w:tcW w:w="259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30A6EB"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r>
      <w:tr w:rsidR="00207D43" w:rsidRPr="00207D43" w14:paraId="6FD35E2B" w14:textId="77777777" w:rsidTr="00207D43">
        <w:trPr>
          <w:trHeight w:val="528"/>
          <w:jc w:val="center"/>
        </w:trPr>
        <w:tc>
          <w:tcPr>
            <w:tcW w:w="1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5CC22B"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学历</w:t>
            </w:r>
          </w:p>
        </w:tc>
        <w:tc>
          <w:tcPr>
            <w:tcW w:w="147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919BDF"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15B951"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职称</w:t>
            </w:r>
          </w:p>
        </w:tc>
        <w:tc>
          <w:tcPr>
            <w:tcW w:w="168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732335"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118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1A665E"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任教学科</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D6143E"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r>
      <w:tr w:rsidR="00207D43" w:rsidRPr="00207D43" w14:paraId="0775184F" w14:textId="77777777" w:rsidTr="00207D43">
        <w:trPr>
          <w:trHeight w:val="540"/>
          <w:jc w:val="center"/>
        </w:trPr>
        <w:tc>
          <w:tcPr>
            <w:tcW w:w="1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D09B0C"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lastRenderedPageBreak/>
              <w:t>人事关系</w:t>
            </w:r>
          </w:p>
          <w:p w14:paraId="4FD8E5EA"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所在单位</w:t>
            </w:r>
          </w:p>
        </w:tc>
        <w:tc>
          <w:tcPr>
            <w:tcW w:w="4141"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F91195"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118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245739"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现任或</w:t>
            </w:r>
          </w:p>
          <w:p w14:paraId="4132F43B"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曾任职务</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D0630F"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r>
      <w:tr w:rsidR="00207D43" w:rsidRPr="00207D43" w14:paraId="5BBC5880" w14:textId="77777777" w:rsidTr="00207D43">
        <w:trPr>
          <w:trHeight w:val="553"/>
          <w:jc w:val="center"/>
        </w:trPr>
        <w:tc>
          <w:tcPr>
            <w:tcW w:w="1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324AB8"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家庭住址</w:t>
            </w:r>
          </w:p>
        </w:tc>
        <w:tc>
          <w:tcPr>
            <w:tcW w:w="4141"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93B47"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118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13E2BE"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是否退休</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E6598"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r>
      <w:tr w:rsidR="00207D43" w:rsidRPr="00207D43" w14:paraId="7E892A95" w14:textId="77777777" w:rsidTr="00207D43">
        <w:trPr>
          <w:trHeight w:val="514"/>
          <w:jc w:val="center"/>
        </w:trPr>
        <w:tc>
          <w:tcPr>
            <w:tcW w:w="1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9C0FFF"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联系电话</w:t>
            </w:r>
          </w:p>
        </w:tc>
        <w:tc>
          <w:tcPr>
            <w:tcW w:w="4141"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EA03F"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118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67F55"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应聘岗位</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FAFD4"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r>
      <w:tr w:rsidR="00207D43" w:rsidRPr="00207D43" w14:paraId="3D9CCE76" w14:textId="77777777" w:rsidTr="00207D43">
        <w:trPr>
          <w:trHeight w:val="1274"/>
          <w:jc w:val="center"/>
        </w:trPr>
        <w:tc>
          <w:tcPr>
            <w:tcW w:w="4188"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339CC6"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何年何月被何单位授予省级特级教师或省级名师、省级学科带头人、省级</w:t>
            </w:r>
          </w:p>
          <w:p w14:paraId="2A124181"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名校（园）长、市级专家型教师</w:t>
            </w:r>
          </w:p>
        </w:tc>
        <w:tc>
          <w:tcPr>
            <w:tcW w:w="438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67C928"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r>
      <w:tr w:rsidR="00207D43" w:rsidRPr="00207D43" w14:paraId="702A6E1A" w14:textId="77777777" w:rsidTr="00207D43">
        <w:trPr>
          <w:trHeight w:val="1214"/>
          <w:jc w:val="center"/>
        </w:trPr>
        <w:tc>
          <w:tcPr>
            <w:tcW w:w="190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A950EB"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获得党政部门表彰奖励情况</w:t>
            </w:r>
          </w:p>
        </w:tc>
        <w:tc>
          <w:tcPr>
            <w:tcW w:w="6661"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22F39"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r>
      <w:tr w:rsidR="00207D43" w:rsidRPr="00207D43" w14:paraId="2D3B77CA" w14:textId="77777777" w:rsidTr="00207D43">
        <w:trPr>
          <w:trHeight w:val="1244"/>
          <w:jc w:val="center"/>
        </w:trPr>
        <w:tc>
          <w:tcPr>
            <w:tcW w:w="190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ED7D4"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获得教育教学业务表彰奖励情况</w:t>
            </w:r>
          </w:p>
        </w:tc>
        <w:tc>
          <w:tcPr>
            <w:tcW w:w="6661"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3AA792"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r>
      <w:tr w:rsidR="00207D43" w:rsidRPr="00207D43" w14:paraId="389FE175" w14:textId="77777777" w:rsidTr="00207D43">
        <w:trPr>
          <w:trHeight w:val="1264"/>
          <w:jc w:val="center"/>
        </w:trPr>
        <w:tc>
          <w:tcPr>
            <w:tcW w:w="190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F3B80"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主持或参与课题研究情况</w:t>
            </w:r>
          </w:p>
        </w:tc>
        <w:tc>
          <w:tcPr>
            <w:tcW w:w="6661"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4A8368"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r>
      <w:tr w:rsidR="00207D43" w:rsidRPr="00207D43" w14:paraId="7BAB3021" w14:textId="77777777" w:rsidTr="00207D43">
        <w:trPr>
          <w:trHeight w:val="1454"/>
          <w:jc w:val="center"/>
        </w:trPr>
        <w:tc>
          <w:tcPr>
            <w:tcW w:w="190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991394"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论文发表情况</w:t>
            </w:r>
          </w:p>
        </w:tc>
        <w:tc>
          <w:tcPr>
            <w:tcW w:w="6661"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90F8F2"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r>
      <w:tr w:rsidR="00207D43" w:rsidRPr="00207D43" w14:paraId="5C2194CA" w14:textId="77777777" w:rsidTr="00207D43">
        <w:trPr>
          <w:trHeight w:val="1964"/>
          <w:jc w:val="center"/>
        </w:trPr>
        <w:tc>
          <w:tcPr>
            <w:tcW w:w="192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62687B"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p w14:paraId="674F38AF"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主要工作简历</w:t>
            </w:r>
          </w:p>
          <w:p w14:paraId="653E711B"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6646" w:type="dxa"/>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86095A"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r>
    </w:tbl>
    <w:p w14:paraId="0F55F416" w14:textId="77777777" w:rsidR="00207D43" w:rsidRPr="00207D43" w:rsidRDefault="00207D43" w:rsidP="00207D43">
      <w:pPr>
        <w:widowControl/>
        <w:wordWrap w:val="0"/>
        <w:jc w:val="left"/>
        <w:rPr>
          <w:rFonts w:ascii="微软雅黑" w:eastAsia="微软雅黑" w:hAnsi="微软雅黑" w:cs="Times New Roman"/>
          <w:color w:val="000000"/>
          <w:kern w:val="0"/>
          <w:sz w:val="23"/>
          <w:szCs w:val="23"/>
        </w:rPr>
      </w:pPr>
      <w:r w:rsidRPr="00207D43">
        <w:rPr>
          <w:rFonts w:ascii="黑体" w:eastAsia="黑体" w:hAnsi="黑体" w:cs="Times New Roman" w:hint="eastAsia"/>
          <w:color w:val="000000"/>
          <w:kern w:val="0"/>
          <w:sz w:val="32"/>
          <w:szCs w:val="32"/>
        </w:rPr>
        <w:br w:type="textWrapping" w:clear="all"/>
      </w:r>
    </w:p>
    <w:p w14:paraId="6F819647" w14:textId="77777777" w:rsidR="00207D43" w:rsidRPr="00207D43" w:rsidRDefault="00207D43" w:rsidP="00207D43">
      <w:pPr>
        <w:widowControl/>
        <w:wordWrap w:val="0"/>
        <w:spacing w:line="338" w:lineRule="atLeast"/>
        <w:jc w:val="left"/>
        <w:rPr>
          <w:rFonts w:ascii="微软雅黑" w:eastAsia="微软雅黑" w:hAnsi="微软雅黑" w:cs="Times New Roman"/>
          <w:color w:val="000000"/>
          <w:kern w:val="0"/>
          <w:sz w:val="23"/>
          <w:szCs w:val="23"/>
        </w:rPr>
      </w:pPr>
      <w:r w:rsidRPr="00207D43">
        <w:rPr>
          <w:rFonts w:ascii="黑体" w:eastAsia="黑体" w:hAnsi="黑体" w:cs="Times New Roman" w:hint="eastAsia"/>
          <w:color w:val="000000"/>
          <w:kern w:val="0"/>
          <w:sz w:val="32"/>
          <w:szCs w:val="32"/>
        </w:rPr>
        <w:t>附件2：</w:t>
      </w:r>
    </w:p>
    <w:p w14:paraId="596F1B07" w14:textId="77777777" w:rsidR="00207D43" w:rsidRPr="00207D43" w:rsidRDefault="00207D43" w:rsidP="00207D43">
      <w:pPr>
        <w:widowControl/>
        <w:wordWrap w:val="0"/>
        <w:spacing w:line="338" w:lineRule="atLeast"/>
        <w:jc w:val="center"/>
        <w:rPr>
          <w:rFonts w:ascii="微软雅黑" w:eastAsia="微软雅黑" w:hAnsi="微软雅黑" w:cs="Times New Roman"/>
          <w:color w:val="000000"/>
          <w:kern w:val="0"/>
          <w:sz w:val="23"/>
          <w:szCs w:val="23"/>
        </w:rPr>
      </w:pPr>
      <w:r w:rsidRPr="00207D43">
        <w:rPr>
          <w:rFonts w:ascii="MS Mincho" w:eastAsia="MS Mincho" w:hAnsi="MS Mincho" w:cs="MS Mincho"/>
          <w:b/>
          <w:bCs/>
          <w:color w:val="000000"/>
          <w:kern w:val="0"/>
          <w:sz w:val="36"/>
          <w:szCs w:val="36"/>
        </w:rPr>
        <w:t>集美区引</w:t>
      </w:r>
      <w:r w:rsidRPr="00207D43">
        <w:rPr>
          <w:rFonts w:ascii="宋体" w:eastAsia="宋体" w:hAnsi="宋体" w:cs="宋体"/>
          <w:b/>
          <w:bCs/>
          <w:color w:val="000000"/>
          <w:kern w:val="0"/>
          <w:sz w:val="36"/>
          <w:szCs w:val="36"/>
        </w:rPr>
        <w:t>进</w:t>
      </w:r>
      <w:r w:rsidRPr="00207D43">
        <w:rPr>
          <w:rFonts w:ascii="MS Mincho" w:eastAsia="MS Mincho" w:hAnsi="MS Mincho" w:cs="MS Mincho"/>
          <w:b/>
          <w:bCs/>
          <w:color w:val="000000"/>
          <w:kern w:val="0"/>
          <w:sz w:val="36"/>
          <w:szCs w:val="36"/>
        </w:rPr>
        <w:t>高</w:t>
      </w:r>
      <w:r w:rsidRPr="00207D43">
        <w:rPr>
          <w:rFonts w:ascii="宋体" w:eastAsia="宋体" w:hAnsi="宋体" w:cs="宋体"/>
          <w:b/>
          <w:bCs/>
          <w:color w:val="000000"/>
          <w:kern w:val="0"/>
          <w:sz w:val="36"/>
          <w:szCs w:val="36"/>
        </w:rPr>
        <w:t>层</w:t>
      </w:r>
      <w:r w:rsidRPr="00207D43">
        <w:rPr>
          <w:rFonts w:ascii="MS Mincho" w:eastAsia="MS Mincho" w:hAnsi="MS Mincho" w:cs="MS Mincho"/>
          <w:b/>
          <w:bCs/>
          <w:color w:val="000000"/>
          <w:kern w:val="0"/>
          <w:sz w:val="36"/>
          <w:szCs w:val="36"/>
        </w:rPr>
        <w:t>次教育人才人</w:t>
      </w:r>
      <w:r w:rsidRPr="00207D43">
        <w:rPr>
          <w:rFonts w:ascii="宋体" w:eastAsia="宋体" w:hAnsi="宋体" w:cs="宋体"/>
          <w:b/>
          <w:bCs/>
          <w:color w:val="000000"/>
          <w:kern w:val="0"/>
          <w:sz w:val="36"/>
          <w:szCs w:val="36"/>
        </w:rPr>
        <w:t>员</w:t>
      </w:r>
      <w:r w:rsidRPr="00207D43">
        <w:rPr>
          <w:rFonts w:ascii="MS Mincho" w:eastAsia="MS Mincho" w:hAnsi="MS Mincho" w:cs="MS Mincho"/>
          <w:b/>
          <w:bCs/>
          <w:color w:val="000000"/>
          <w:kern w:val="0"/>
          <w:sz w:val="36"/>
          <w:szCs w:val="36"/>
        </w:rPr>
        <w:t>信息</w:t>
      </w:r>
      <w:r w:rsidRPr="00207D43">
        <w:rPr>
          <w:rFonts w:ascii="宋体" w:eastAsia="宋体" w:hAnsi="宋体" w:cs="宋体"/>
          <w:b/>
          <w:bCs/>
          <w:color w:val="000000"/>
          <w:kern w:val="0"/>
          <w:sz w:val="36"/>
          <w:szCs w:val="36"/>
        </w:rPr>
        <w:t>汇总</w:t>
      </w:r>
      <w:r w:rsidRPr="00207D43">
        <w:rPr>
          <w:rFonts w:ascii="MS Mincho" w:eastAsia="MS Mincho" w:hAnsi="MS Mincho" w:cs="MS Mincho"/>
          <w:b/>
          <w:bCs/>
          <w:color w:val="000000"/>
          <w:kern w:val="0"/>
          <w:sz w:val="36"/>
          <w:szCs w:val="36"/>
        </w:rPr>
        <w:t>表</w:t>
      </w:r>
    </w:p>
    <w:tbl>
      <w:tblPr>
        <w:tblW w:w="13988" w:type="dxa"/>
        <w:tblInd w:w="93" w:type="dxa"/>
        <w:tblCellMar>
          <w:top w:w="15" w:type="dxa"/>
          <w:left w:w="15" w:type="dxa"/>
          <w:bottom w:w="15" w:type="dxa"/>
          <w:right w:w="15" w:type="dxa"/>
        </w:tblCellMar>
        <w:tblLook w:val="04A0" w:firstRow="1" w:lastRow="0" w:firstColumn="1" w:lastColumn="0" w:noHBand="0" w:noVBand="1"/>
      </w:tblPr>
      <w:tblGrid>
        <w:gridCol w:w="779"/>
        <w:gridCol w:w="489"/>
        <w:gridCol w:w="917"/>
        <w:gridCol w:w="490"/>
        <w:gridCol w:w="904"/>
        <w:gridCol w:w="665"/>
        <w:gridCol w:w="904"/>
        <w:gridCol w:w="967"/>
        <w:gridCol w:w="1281"/>
        <w:gridCol w:w="490"/>
        <w:gridCol w:w="1381"/>
        <w:gridCol w:w="867"/>
        <w:gridCol w:w="1017"/>
        <w:gridCol w:w="1406"/>
        <w:gridCol w:w="1431"/>
      </w:tblGrid>
      <w:tr w:rsidR="00207D43" w:rsidRPr="00207D43" w14:paraId="3DE5B36C" w14:textId="77777777" w:rsidTr="00207D43">
        <w:trPr>
          <w:trHeight w:val="1170"/>
        </w:trPr>
        <w:tc>
          <w:tcPr>
            <w:tcW w:w="779" w:type="dxa"/>
            <w:tcBorders>
              <w:top w:val="single" w:sz="8" w:space="0" w:color="000000"/>
              <w:left w:val="single" w:sz="8" w:space="0" w:color="000000"/>
              <w:right w:val="single" w:sz="8" w:space="0" w:color="000000"/>
            </w:tcBorders>
            <w:vAlign w:val="center"/>
            <w:hideMark/>
          </w:tcPr>
          <w:p w14:paraId="166CB17D" w14:textId="77777777" w:rsidR="00207D43" w:rsidRPr="00207D43" w:rsidRDefault="00207D43" w:rsidP="00207D43">
            <w:pPr>
              <w:widowControl/>
              <w:jc w:val="center"/>
              <w:textAlignment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lastRenderedPageBreak/>
              <w:t>姓名</w:t>
            </w:r>
          </w:p>
        </w:tc>
        <w:tc>
          <w:tcPr>
            <w:tcW w:w="489" w:type="dxa"/>
            <w:tcBorders>
              <w:top w:val="single" w:sz="8" w:space="0" w:color="000000"/>
              <w:left w:val="nil"/>
              <w:right w:val="single" w:sz="8" w:space="0" w:color="000000"/>
            </w:tcBorders>
            <w:vAlign w:val="center"/>
            <w:hideMark/>
          </w:tcPr>
          <w:p w14:paraId="62E1C8FF" w14:textId="77777777" w:rsidR="00207D43" w:rsidRPr="00207D43" w:rsidRDefault="00207D43" w:rsidP="00207D43">
            <w:pPr>
              <w:widowControl/>
              <w:jc w:val="center"/>
              <w:textAlignment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性别</w:t>
            </w:r>
          </w:p>
        </w:tc>
        <w:tc>
          <w:tcPr>
            <w:tcW w:w="917" w:type="dxa"/>
            <w:tcBorders>
              <w:top w:val="single" w:sz="8" w:space="0" w:color="000000"/>
              <w:left w:val="nil"/>
              <w:right w:val="single" w:sz="8" w:space="0" w:color="000000"/>
            </w:tcBorders>
            <w:vAlign w:val="center"/>
            <w:hideMark/>
          </w:tcPr>
          <w:p w14:paraId="0AE8CE82" w14:textId="77777777" w:rsidR="00207D43" w:rsidRPr="00207D43" w:rsidRDefault="00207D43" w:rsidP="00207D43">
            <w:pPr>
              <w:widowControl/>
              <w:jc w:val="center"/>
              <w:textAlignment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出生年月</w:t>
            </w:r>
          </w:p>
        </w:tc>
        <w:tc>
          <w:tcPr>
            <w:tcW w:w="490" w:type="dxa"/>
            <w:tcBorders>
              <w:top w:val="single" w:sz="8" w:space="0" w:color="000000"/>
              <w:left w:val="nil"/>
              <w:right w:val="single" w:sz="8" w:space="0" w:color="000000"/>
            </w:tcBorders>
            <w:vAlign w:val="center"/>
            <w:hideMark/>
          </w:tcPr>
          <w:p w14:paraId="20470BF9" w14:textId="77777777" w:rsidR="00207D43" w:rsidRPr="00207D43" w:rsidRDefault="00207D43" w:rsidP="00207D43">
            <w:pPr>
              <w:widowControl/>
              <w:jc w:val="center"/>
              <w:textAlignment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年龄</w:t>
            </w:r>
          </w:p>
        </w:tc>
        <w:tc>
          <w:tcPr>
            <w:tcW w:w="904" w:type="dxa"/>
            <w:tcBorders>
              <w:top w:val="single" w:sz="8" w:space="0" w:color="000000"/>
              <w:left w:val="nil"/>
              <w:right w:val="single" w:sz="8" w:space="0" w:color="000000"/>
            </w:tcBorders>
            <w:vAlign w:val="center"/>
            <w:hideMark/>
          </w:tcPr>
          <w:p w14:paraId="60A31284" w14:textId="77777777" w:rsidR="00207D43" w:rsidRPr="00207D43" w:rsidRDefault="00207D43" w:rsidP="00207D43">
            <w:pPr>
              <w:widowControl/>
              <w:jc w:val="center"/>
              <w:textAlignment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学历</w:t>
            </w:r>
          </w:p>
        </w:tc>
        <w:tc>
          <w:tcPr>
            <w:tcW w:w="665" w:type="dxa"/>
            <w:tcBorders>
              <w:top w:val="single" w:sz="8" w:space="0" w:color="000000"/>
              <w:left w:val="nil"/>
              <w:right w:val="single" w:sz="8" w:space="0" w:color="000000"/>
            </w:tcBorders>
            <w:vAlign w:val="center"/>
            <w:hideMark/>
          </w:tcPr>
          <w:p w14:paraId="6B0A4198" w14:textId="77777777" w:rsidR="00207D43" w:rsidRPr="00207D43" w:rsidRDefault="00207D43" w:rsidP="00207D43">
            <w:pPr>
              <w:widowControl/>
              <w:jc w:val="center"/>
              <w:textAlignment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职称</w:t>
            </w:r>
          </w:p>
        </w:tc>
        <w:tc>
          <w:tcPr>
            <w:tcW w:w="904" w:type="dxa"/>
            <w:tcBorders>
              <w:top w:val="single" w:sz="8" w:space="0" w:color="000000"/>
              <w:left w:val="nil"/>
            </w:tcBorders>
            <w:vAlign w:val="center"/>
            <w:hideMark/>
          </w:tcPr>
          <w:p w14:paraId="038356CA" w14:textId="77777777" w:rsidR="00207D43" w:rsidRPr="00207D43" w:rsidRDefault="00207D43" w:rsidP="00207D43">
            <w:pPr>
              <w:widowControl/>
              <w:jc w:val="center"/>
              <w:textAlignment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任教学科</w:t>
            </w:r>
          </w:p>
        </w:tc>
        <w:tc>
          <w:tcPr>
            <w:tcW w:w="967" w:type="dxa"/>
            <w:tcBorders>
              <w:top w:val="single" w:sz="8" w:space="0" w:color="000000"/>
              <w:left w:val="single" w:sz="4" w:space="0" w:color="000000"/>
            </w:tcBorders>
            <w:vAlign w:val="center"/>
            <w:hideMark/>
          </w:tcPr>
          <w:p w14:paraId="60A52C84" w14:textId="77777777" w:rsidR="00207D43" w:rsidRPr="00207D43" w:rsidRDefault="00207D43" w:rsidP="00207D43">
            <w:pPr>
              <w:widowControl/>
              <w:jc w:val="center"/>
              <w:textAlignment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获得荣誉</w:t>
            </w:r>
          </w:p>
        </w:tc>
        <w:tc>
          <w:tcPr>
            <w:tcW w:w="1281" w:type="dxa"/>
            <w:tcBorders>
              <w:top w:val="single" w:sz="8" w:space="0" w:color="000000"/>
              <w:left w:val="single" w:sz="4" w:space="0" w:color="000000"/>
              <w:right w:val="single" w:sz="8" w:space="0" w:color="000000"/>
            </w:tcBorders>
            <w:vAlign w:val="center"/>
            <w:hideMark/>
          </w:tcPr>
          <w:p w14:paraId="3BA9B971" w14:textId="77777777" w:rsidR="00207D43" w:rsidRPr="00207D43" w:rsidRDefault="00207D43" w:rsidP="00207D43">
            <w:pPr>
              <w:widowControl/>
              <w:jc w:val="center"/>
              <w:textAlignment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人事关系所在单位</w:t>
            </w:r>
          </w:p>
        </w:tc>
        <w:tc>
          <w:tcPr>
            <w:tcW w:w="490" w:type="dxa"/>
            <w:tcBorders>
              <w:top w:val="single" w:sz="8" w:space="0" w:color="000000"/>
              <w:left w:val="nil"/>
              <w:right w:val="single" w:sz="8" w:space="0" w:color="000000"/>
            </w:tcBorders>
            <w:vAlign w:val="center"/>
            <w:hideMark/>
          </w:tcPr>
          <w:p w14:paraId="793BF6B2" w14:textId="77777777" w:rsidR="00207D43" w:rsidRPr="00207D43" w:rsidRDefault="00207D43" w:rsidP="00207D43">
            <w:pPr>
              <w:widowControl/>
              <w:jc w:val="center"/>
              <w:textAlignment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是否</w:t>
            </w:r>
            <w:r w:rsidRPr="00207D43">
              <w:rPr>
                <w:rFonts w:ascii="宋体" w:eastAsia="宋体" w:hAnsi="宋体" w:cs="Times New Roman" w:hint="eastAsia"/>
                <w:color w:val="000000"/>
                <w:kern w:val="0"/>
              </w:rPr>
              <w:br/>
              <w:t>退休</w:t>
            </w:r>
          </w:p>
        </w:tc>
        <w:tc>
          <w:tcPr>
            <w:tcW w:w="1381" w:type="dxa"/>
            <w:tcBorders>
              <w:top w:val="single" w:sz="8" w:space="0" w:color="000000"/>
              <w:left w:val="nil"/>
              <w:right w:val="single" w:sz="8" w:space="0" w:color="000000"/>
            </w:tcBorders>
            <w:vAlign w:val="center"/>
            <w:hideMark/>
          </w:tcPr>
          <w:p w14:paraId="0C73F1EB" w14:textId="77777777" w:rsidR="00207D43" w:rsidRPr="00207D43" w:rsidRDefault="00207D43" w:rsidP="00207D43">
            <w:pPr>
              <w:widowControl/>
              <w:jc w:val="center"/>
              <w:textAlignment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现任职务</w:t>
            </w:r>
            <w:r w:rsidRPr="00207D43">
              <w:rPr>
                <w:rFonts w:ascii="宋体" w:eastAsia="宋体" w:hAnsi="宋体" w:cs="Times New Roman" w:hint="eastAsia"/>
                <w:color w:val="000000"/>
                <w:kern w:val="0"/>
              </w:rPr>
              <w:br/>
              <w:t>或任职经历</w:t>
            </w:r>
          </w:p>
        </w:tc>
        <w:tc>
          <w:tcPr>
            <w:tcW w:w="867" w:type="dxa"/>
            <w:tcBorders>
              <w:top w:val="single" w:sz="8" w:space="0" w:color="000000"/>
              <w:left w:val="nil"/>
              <w:right w:val="single" w:sz="8" w:space="0" w:color="000000"/>
            </w:tcBorders>
            <w:vAlign w:val="center"/>
            <w:hideMark/>
          </w:tcPr>
          <w:p w14:paraId="57148389" w14:textId="77777777" w:rsidR="00207D43" w:rsidRPr="00207D43" w:rsidRDefault="00207D43" w:rsidP="00207D43">
            <w:pPr>
              <w:widowControl/>
              <w:jc w:val="center"/>
              <w:textAlignment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应聘</w:t>
            </w:r>
            <w:r w:rsidRPr="00207D43">
              <w:rPr>
                <w:rFonts w:ascii="宋体" w:eastAsia="宋体" w:hAnsi="宋体" w:cs="Times New Roman" w:hint="eastAsia"/>
                <w:color w:val="000000"/>
                <w:kern w:val="0"/>
              </w:rPr>
              <w:br/>
              <w:t>岗位</w:t>
            </w:r>
          </w:p>
        </w:tc>
        <w:tc>
          <w:tcPr>
            <w:tcW w:w="1017" w:type="dxa"/>
            <w:tcBorders>
              <w:top w:val="single" w:sz="8" w:space="0" w:color="000000"/>
              <w:left w:val="nil"/>
              <w:right w:val="single" w:sz="8" w:space="0" w:color="000000"/>
            </w:tcBorders>
            <w:vAlign w:val="center"/>
            <w:hideMark/>
          </w:tcPr>
          <w:p w14:paraId="4906FD54" w14:textId="77777777" w:rsidR="00207D43" w:rsidRPr="00207D43" w:rsidRDefault="00207D43" w:rsidP="00207D43">
            <w:pPr>
              <w:widowControl/>
              <w:jc w:val="center"/>
              <w:textAlignment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申请聘任期限</w:t>
            </w:r>
          </w:p>
        </w:tc>
        <w:tc>
          <w:tcPr>
            <w:tcW w:w="1406" w:type="dxa"/>
            <w:tcBorders>
              <w:top w:val="single" w:sz="8" w:space="0" w:color="000000"/>
              <w:left w:val="nil"/>
            </w:tcBorders>
            <w:vAlign w:val="center"/>
            <w:hideMark/>
          </w:tcPr>
          <w:p w14:paraId="2C316233" w14:textId="77777777" w:rsidR="00207D43" w:rsidRPr="00207D43" w:rsidRDefault="00207D43" w:rsidP="00207D43">
            <w:pPr>
              <w:widowControl/>
              <w:jc w:val="center"/>
              <w:textAlignment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家庭住址</w:t>
            </w:r>
          </w:p>
        </w:tc>
        <w:tc>
          <w:tcPr>
            <w:tcW w:w="1431" w:type="dxa"/>
            <w:tcBorders>
              <w:top w:val="single" w:sz="8" w:space="0" w:color="000000"/>
              <w:left w:val="single" w:sz="4" w:space="0" w:color="000000"/>
              <w:bottom w:val="single" w:sz="8" w:space="0" w:color="000000"/>
              <w:right w:val="single" w:sz="8" w:space="0" w:color="000000"/>
            </w:tcBorders>
            <w:vAlign w:val="center"/>
            <w:hideMark/>
          </w:tcPr>
          <w:p w14:paraId="7D90FA77" w14:textId="77777777" w:rsidR="00207D43" w:rsidRPr="00207D43" w:rsidRDefault="00207D43" w:rsidP="00207D43">
            <w:pPr>
              <w:widowControl/>
              <w:jc w:val="center"/>
              <w:textAlignment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联系电话</w:t>
            </w:r>
          </w:p>
        </w:tc>
      </w:tr>
      <w:tr w:rsidR="00207D43" w:rsidRPr="00207D43" w14:paraId="4001B94C" w14:textId="77777777" w:rsidTr="00207D43">
        <w:trPr>
          <w:trHeight w:val="1301"/>
        </w:trPr>
        <w:tc>
          <w:tcPr>
            <w:tcW w:w="779" w:type="dxa"/>
            <w:tcBorders>
              <w:top w:val="single" w:sz="4" w:space="0" w:color="000000"/>
              <w:left w:val="single" w:sz="8" w:space="0" w:color="000000"/>
              <w:bottom w:val="single" w:sz="8" w:space="0" w:color="000000"/>
              <w:right w:val="single" w:sz="8" w:space="0" w:color="000000"/>
            </w:tcBorders>
            <w:shd w:val="clear" w:color="auto" w:fill="FFFFFF"/>
            <w:vAlign w:val="center"/>
            <w:hideMark/>
          </w:tcPr>
          <w:p w14:paraId="30210A61"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489" w:type="dxa"/>
            <w:tcBorders>
              <w:top w:val="single" w:sz="4" w:space="0" w:color="000000"/>
              <w:left w:val="nil"/>
              <w:bottom w:val="single" w:sz="8" w:space="0" w:color="000000"/>
              <w:right w:val="single" w:sz="8" w:space="0" w:color="000000"/>
            </w:tcBorders>
            <w:shd w:val="clear" w:color="auto" w:fill="FFFFFF"/>
            <w:vAlign w:val="center"/>
            <w:hideMark/>
          </w:tcPr>
          <w:p w14:paraId="7E980466"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917" w:type="dxa"/>
            <w:tcBorders>
              <w:top w:val="single" w:sz="4" w:space="0" w:color="000000"/>
              <w:left w:val="nil"/>
              <w:bottom w:val="single" w:sz="8" w:space="0" w:color="000000"/>
              <w:right w:val="single" w:sz="8" w:space="0" w:color="000000"/>
            </w:tcBorders>
            <w:shd w:val="clear" w:color="auto" w:fill="FFFFFF"/>
            <w:vAlign w:val="center"/>
            <w:hideMark/>
          </w:tcPr>
          <w:p w14:paraId="28EDC31A"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490" w:type="dxa"/>
            <w:tcBorders>
              <w:top w:val="single" w:sz="4" w:space="0" w:color="000000"/>
              <w:left w:val="nil"/>
              <w:bottom w:val="single" w:sz="8" w:space="0" w:color="000000"/>
              <w:right w:val="single" w:sz="8" w:space="0" w:color="000000"/>
            </w:tcBorders>
            <w:shd w:val="clear" w:color="auto" w:fill="FFFFFF"/>
            <w:vAlign w:val="center"/>
            <w:hideMark/>
          </w:tcPr>
          <w:p w14:paraId="446294A3"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904" w:type="dxa"/>
            <w:tcBorders>
              <w:top w:val="single" w:sz="4" w:space="0" w:color="000000"/>
              <w:left w:val="nil"/>
              <w:bottom w:val="single" w:sz="8" w:space="0" w:color="000000"/>
              <w:right w:val="single" w:sz="8" w:space="0" w:color="000000"/>
            </w:tcBorders>
            <w:shd w:val="clear" w:color="auto" w:fill="FFFFFF"/>
            <w:vAlign w:val="center"/>
            <w:hideMark/>
          </w:tcPr>
          <w:p w14:paraId="14ED030A"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665" w:type="dxa"/>
            <w:tcBorders>
              <w:top w:val="single" w:sz="4" w:space="0" w:color="000000"/>
              <w:left w:val="nil"/>
              <w:bottom w:val="single" w:sz="8" w:space="0" w:color="000000"/>
              <w:right w:val="single" w:sz="8" w:space="0" w:color="000000"/>
            </w:tcBorders>
            <w:vAlign w:val="center"/>
            <w:hideMark/>
          </w:tcPr>
          <w:p w14:paraId="639A5798"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904" w:type="dxa"/>
            <w:tcBorders>
              <w:top w:val="single" w:sz="4" w:space="0" w:color="000000"/>
              <w:left w:val="nil"/>
              <w:bottom w:val="single" w:sz="8" w:space="0" w:color="000000"/>
              <w:right w:val="single" w:sz="8" w:space="0" w:color="000000"/>
            </w:tcBorders>
            <w:vAlign w:val="center"/>
            <w:hideMark/>
          </w:tcPr>
          <w:p w14:paraId="331F4E91"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967" w:type="dxa"/>
            <w:tcBorders>
              <w:top w:val="single" w:sz="4" w:space="0" w:color="000000"/>
              <w:left w:val="nil"/>
              <w:bottom w:val="single" w:sz="8" w:space="0" w:color="000000"/>
              <w:right w:val="single" w:sz="8" w:space="0" w:color="000000"/>
            </w:tcBorders>
            <w:vAlign w:val="center"/>
            <w:hideMark/>
          </w:tcPr>
          <w:p w14:paraId="5315DD2D"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1281" w:type="dxa"/>
            <w:tcBorders>
              <w:top w:val="single" w:sz="4" w:space="0" w:color="000000"/>
              <w:left w:val="nil"/>
              <w:bottom w:val="single" w:sz="8" w:space="0" w:color="000000"/>
              <w:right w:val="single" w:sz="8" w:space="0" w:color="000000"/>
            </w:tcBorders>
            <w:vAlign w:val="center"/>
            <w:hideMark/>
          </w:tcPr>
          <w:p w14:paraId="08D2F2A6"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490" w:type="dxa"/>
            <w:tcBorders>
              <w:top w:val="single" w:sz="4" w:space="0" w:color="000000"/>
              <w:left w:val="nil"/>
              <w:bottom w:val="single" w:sz="8" w:space="0" w:color="000000"/>
              <w:right w:val="single" w:sz="8" w:space="0" w:color="000000"/>
            </w:tcBorders>
            <w:vAlign w:val="center"/>
            <w:hideMark/>
          </w:tcPr>
          <w:p w14:paraId="1FB381FB"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1381" w:type="dxa"/>
            <w:tcBorders>
              <w:top w:val="single" w:sz="4" w:space="0" w:color="000000"/>
              <w:left w:val="nil"/>
              <w:bottom w:val="single" w:sz="8" w:space="0" w:color="000000"/>
              <w:right w:val="single" w:sz="8" w:space="0" w:color="000000"/>
            </w:tcBorders>
            <w:vAlign w:val="center"/>
            <w:hideMark/>
          </w:tcPr>
          <w:p w14:paraId="448E2C16"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867" w:type="dxa"/>
            <w:tcBorders>
              <w:top w:val="single" w:sz="4" w:space="0" w:color="000000"/>
              <w:left w:val="nil"/>
              <w:bottom w:val="single" w:sz="8" w:space="0" w:color="000000"/>
              <w:right w:val="single" w:sz="8" w:space="0" w:color="000000"/>
            </w:tcBorders>
            <w:vAlign w:val="center"/>
            <w:hideMark/>
          </w:tcPr>
          <w:p w14:paraId="1D3E20C9"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1017" w:type="dxa"/>
            <w:tcBorders>
              <w:top w:val="single" w:sz="4" w:space="0" w:color="000000"/>
              <w:left w:val="nil"/>
              <w:bottom w:val="single" w:sz="8" w:space="0" w:color="000000"/>
              <w:right w:val="single" w:sz="8" w:space="0" w:color="000000"/>
            </w:tcBorders>
            <w:vAlign w:val="center"/>
            <w:hideMark/>
          </w:tcPr>
          <w:p w14:paraId="737C7BDC" w14:textId="77777777" w:rsidR="00207D43" w:rsidRPr="00207D43" w:rsidRDefault="00207D43" w:rsidP="00207D43">
            <w:pPr>
              <w:widowControl/>
              <w:jc w:val="left"/>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1406" w:type="dxa"/>
            <w:tcBorders>
              <w:top w:val="single" w:sz="4" w:space="0" w:color="000000"/>
              <w:left w:val="nil"/>
              <w:bottom w:val="single" w:sz="8" w:space="0" w:color="000000"/>
            </w:tcBorders>
            <w:vAlign w:val="center"/>
            <w:hideMark/>
          </w:tcPr>
          <w:p w14:paraId="09A893A5"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1431" w:type="dxa"/>
            <w:tcBorders>
              <w:top w:val="nil"/>
              <w:left w:val="single" w:sz="4" w:space="0" w:color="000000"/>
              <w:bottom w:val="single" w:sz="8" w:space="0" w:color="000000"/>
              <w:right w:val="single" w:sz="8" w:space="0" w:color="000000"/>
            </w:tcBorders>
            <w:vAlign w:val="center"/>
            <w:hideMark/>
          </w:tcPr>
          <w:p w14:paraId="2334EA00" w14:textId="77777777" w:rsidR="00207D43" w:rsidRPr="00207D43" w:rsidRDefault="00207D43" w:rsidP="00207D43">
            <w:pPr>
              <w:widowControl/>
              <w:jc w:val="left"/>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r>
      <w:tr w:rsidR="00207D43" w:rsidRPr="00207D43" w14:paraId="6FC836E4" w14:textId="77777777" w:rsidTr="00207D43">
        <w:trPr>
          <w:trHeight w:val="1301"/>
        </w:trPr>
        <w:tc>
          <w:tcPr>
            <w:tcW w:w="779" w:type="dxa"/>
            <w:tcBorders>
              <w:top w:val="nil"/>
              <w:left w:val="single" w:sz="8" w:space="0" w:color="000000"/>
              <w:bottom w:val="single" w:sz="8" w:space="0" w:color="000000"/>
              <w:right w:val="single" w:sz="8" w:space="0" w:color="000000"/>
            </w:tcBorders>
            <w:vAlign w:val="center"/>
            <w:hideMark/>
          </w:tcPr>
          <w:p w14:paraId="1D2E7466"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489" w:type="dxa"/>
            <w:tcBorders>
              <w:top w:val="nil"/>
              <w:left w:val="nil"/>
              <w:bottom w:val="single" w:sz="8" w:space="0" w:color="000000"/>
              <w:right w:val="single" w:sz="8" w:space="0" w:color="000000"/>
            </w:tcBorders>
            <w:vAlign w:val="center"/>
            <w:hideMark/>
          </w:tcPr>
          <w:p w14:paraId="1A343417"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917" w:type="dxa"/>
            <w:tcBorders>
              <w:top w:val="nil"/>
              <w:left w:val="nil"/>
              <w:bottom w:val="single" w:sz="8" w:space="0" w:color="000000"/>
              <w:right w:val="single" w:sz="8" w:space="0" w:color="000000"/>
            </w:tcBorders>
            <w:vAlign w:val="center"/>
            <w:hideMark/>
          </w:tcPr>
          <w:p w14:paraId="5FBF1153"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490" w:type="dxa"/>
            <w:tcBorders>
              <w:top w:val="nil"/>
              <w:left w:val="nil"/>
              <w:bottom w:val="single" w:sz="8" w:space="0" w:color="000000"/>
              <w:right w:val="single" w:sz="8" w:space="0" w:color="000000"/>
            </w:tcBorders>
            <w:vAlign w:val="center"/>
            <w:hideMark/>
          </w:tcPr>
          <w:p w14:paraId="4008751E"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904" w:type="dxa"/>
            <w:tcBorders>
              <w:top w:val="nil"/>
              <w:left w:val="nil"/>
              <w:bottom w:val="single" w:sz="8" w:space="0" w:color="000000"/>
              <w:right w:val="single" w:sz="8" w:space="0" w:color="000000"/>
            </w:tcBorders>
            <w:vAlign w:val="center"/>
            <w:hideMark/>
          </w:tcPr>
          <w:p w14:paraId="1F81E32E"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665" w:type="dxa"/>
            <w:tcBorders>
              <w:top w:val="nil"/>
              <w:left w:val="nil"/>
              <w:bottom w:val="single" w:sz="8" w:space="0" w:color="000000"/>
              <w:right w:val="single" w:sz="8" w:space="0" w:color="000000"/>
            </w:tcBorders>
            <w:vAlign w:val="center"/>
            <w:hideMark/>
          </w:tcPr>
          <w:p w14:paraId="54F52909"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904" w:type="dxa"/>
            <w:tcBorders>
              <w:top w:val="nil"/>
              <w:left w:val="nil"/>
              <w:bottom w:val="single" w:sz="8" w:space="0" w:color="000000"/>
              <w:right w:val="single" w:sz="8" w:space="0" w:color="000000"/>
            </w:tcBorders>
            <w:vAlign w:val="center"/>
            <w:hideMark/>
          </w:tcPr>
          <w:p w14:paraId="5C34297E"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967" w:type="dxa"/>
            <w:tcBorders>
              <w:top w:val="nil"/>
              <w:left w:val="nil"/>
              <w:bottom w:val="single" w:sz="8" w:space="0" w:color="000000"/>
              <w:right w:val="single" w:sz="8" w:space="0" w:color="000000"/>
            </w:tcBorders>
            <w:vAlign w:val="center"/>
            <w:hideMark/>
          </w:tcPr>
          <w:p w14:paraId="58289DD7"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1281" w:type="dxa"/>
            <w:tcBorders>
              <w:top w:val="nil"/>
              <w:left w:val="nil"/>
              <w:bottom w:val="single" w:sz="8" w:space="0" w:color="000000"/>
              <w:right w:val="single" w:sz="8" w:space="0" w:color="000000"/>
            </w:tcBorders>
            <w:vAlign w:val="center"/>
            <w:hideMark/>
          </w:tcPr>
          <w:p w14:paraId="293C1D7E"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490" w:type="dxa"/>
            <w:tcBorders>
              <w:top w:val="nil"/>
              <w:left w:val="nil"/>
              <w:bottom w:val="single" w:sz="8" w:space="0" w:color="000000"/>
              <w:right w:val="single" w:sz="8" w:space="0" w:color="000000"/>
            </w:tcBorders>
            <w:vAlign w:val="center"/>
            <w:hideMark/>
          </w:tcPr>
          <w:p w14:paraId="02444331"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1381" w:type="dxa"/>
            <w:tcBorders>
              <w:top w:val="nil"/>
              <w:left w:val="nil"/>
              <w:bottom w:val="single" w:sz="8" w:space="0" w:color="000000"/>
              <w:right w:val="single" w:sz="8" w:space="0" w:color="000000"/>
            </w:tcBorders>
            <w:vAlign w:val="center"/>
            <w:hideMark/>
          </w:tcPr>
          <w:p w14:paraId="0FD26F2B"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867" w:type="dxa"/>
            <w:tcBorders>
              <w:top w:val="nil"/>
              <w:left w:val="nil"/>
              <w:bottom w:val="single" w:sz="8" w:space="0" w:color="000000"/>
              <w:right w:val="single" w:sz="8" w:space="0" w:color="000000"/>
            </w:tcBorders>
            <w:vAlign w:val="center"/>
            <w:hideMark/>
          </w:tcPr>
          <w:p w14:paraId="16FF793A"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1017" w:type="dxa"/>
            <w:tcBorders>
              <w:top w:val="nil"/>
              <w:left w:val="nil"/>
              <w:bottom w:val="single" w:sz="8" w:space="0" w:color="000000"/>
              <w:right w:val="single" w:sz="8" w:space="0" w:color="000000"/>
            </w:tcBorders>
            <w:vAlign w:val="center"/>
            <w:hideMark/>
          </w:tcPr>
          <w:p w14:paraId="61DA5DD1" w14:textId="77777777" w:rsidR="00207D43" w:rsidRPr="00207D43" w:rsidRDefault="00207D43" w:rsidP="00207D43">
            <w:pPr>
              <w:widowControl/>
              <w:jc w:val="left"/>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1406" w:type="dxa"/>
            <w:tcBorders>
              <w:top w:val="nil"/>
              <w:left w:val="nil"/>
              <w:bottom w:val="single" w:sz="8" w:space="0" w:color="000000"/>
            </w:tcBorders>
            <w:vAlign w:val="center"/>
            <w:hideMark/>
          </w:tcPr>
          <w:p w14:paraId="114DFA2A"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1431" w:type="dxa"/>
            <w:tcBorders>
              <w:top w:val="nil"/>
              <w:left w:val="single" w:sz="4" w:space="0" w:color="000000"/>
              <w:bottom w:val="single" w:sz="8" w:space="0" w:color="000000"/>
              <w:right w:val="single" w:sz="8" w:space="0" w:color="000000"/>
            </w:tcBorders>
            <w:vAlign w:val="center"/>
            <w:hideMark/>
          </w:tcPr>
          <w:p w14:paraId="7782CB8F" w14:textId="77777777" w:rsidR="00207D43" w:rsidRPr="00207D43" w:rsidRDefault="00207D43" w:rsidP="00207D43">
            <w:pPr>
              <w:widowControl/>
              <w:jc w:val="left"/>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r>
      <w:tr w:rsidR="00207D43" w:rsidRPr="00207D43" w14:paraId="21284347" w14:textId="77777777" w:rsidTr="00207D43">
        <w:trPr>
          <w:trHeight w:val="1301"/>
        </w:trPr>
        <w:tc>
          <w:tcPr>
            <w:tcW w:w="779" w:type="dxa"/>
            <w:tcBorders>
              <w:top w:val="nil"/>
              <w:left w:val="single" w:sz="8" w:space="0" w:color="000000"/>
              <w:bottom w:val="single" w:sz="8" w:space="0" w:color="000000"/>
              <w:right w:val="single" w:sz="8" w:space="0" w:color="000000"/>
            </w:tcBorders>
            <w:vAlign w:val="center"/>
            <w:hideMark/>
          </w:tcPr>
          <w:p w14:paraId="6EEEB21A"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489" w:type="dxa"/>
            <w:tcBorders>
              <w:top w:val="nil"/>
              <w:left w:val="nil"/>
              <w:bottom w:val="single" w:sz="8" w:space="0" w:color="000000"/>
              <w:right w:val="single" w:sz="8" w:space="0" w:color="000000"/>
            </w:tcBorders>
            <w:vAlign w:val="center"/>
            <w:hideMark/>
          </w:tcPr>
          <w:p w14:paraId="5633713A"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917" w:type="dxa"/>
            <w:tcBorders>
              <w:top w:val="nil"/>
              <w:left w:val="nil"/>
              <w:bottom w:val="single" w:sz="8" w:space="0" w:color="000000"/>
              <w:right w:val="single" w:sz="8" w:space="0" w:color="000000"/>
            </w:tcBorders>
            <w:vAlign w:val="center"/>
            <w:hideMark/>
          </w:tcPr>
          <w:p w14:paraId="0E8B9990"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490" w:type="dxa"/>
            <w:tcBorders>
              <w:top w:val="nil"/>
              <w:left w:val="nil"/>
              <w:bottom w:val="single" w:sz="8" w:space="0" w:color="000000"/>
              <w:right w:val="single" w:sz="8" w:space="0" w:color="000000"/>
            </w:tcBorders>
            <w:vAlign w:val="center"/>
            <w:hideMark/>
          </w:tcPr>
          <w:p w14:paraId="1C8ED479"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904" w:type="dxa"/>
            <w:tcBorders>
              <w:top w:val="nil"/>
              <w:left w:val="nil"/>
              <w:bottom w:val="single" w:sz="8" w:space="0" w:color="000000"/>
              <w:right w:val="single" w:sz="8" w:space="0" w:color="000000"/>
            </w:tcBorders>
            <w:vAlign w:val="center"/>
            <w:hideMark/>
          </w:tcPr>
          <w:p w14:paraId="2E79F169"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665" w:type="dxa"/>
            <w:tcBorders>
              <w:top w:val="nil"/>
              <w:left w:val="nil"/>
              <w:bottom w:val="single" w:sz="8" w:space="0" w:color="000000"/>
              <w:right w:val="single" w:sz="8" w:space="0" w:color="000000"/>
            </w:tcBorders>
            <w:vAlign w:val="center"/>
            <w:hideMark/>
          </w:tcPr>
          <w:p w14:paraId="172F1F9D"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904" w:type="dxa"/>
            <w:tcBorders>
              <w:top w:val="nil"/>
              <w:left w:val="nil"/>
              <w:bottom w:val="single" w:sz="8" w:space="0" w:color="000000"/>
              <w:right w:val="single" w:sz="8" w:space="0" w:color="000000"/>
            </w:tcBorders>
            <w:vAlign w:val="center"/>
            <w:hideMark/>
          </w:tcPr>
          <w:p w14:paraId="05DC950B"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967" w:type="dxa"/>
            <w:tcBorders>
              <w:top w:val="nil"/>
              <w:left w:val="nil"/>
              <w:bottom w:val="single" w:sz="8" w:space="0" w:color="000000"/>
              <w:right w:val="single" w:sz="8" w:space="0" w:color="000000"/>
            </w:tcBorders>
            <w:vAlign w:val="center"/>
            <w:hideMark/>
          </w:tcPr>
          <w:p w14:paraId="7A4E73A6"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1281" w:type="dxa"/>
            <w:tcBorders>
              <w:top w:val="nil"/>
              <w:left w:val="nil"/>
              <w:bottom w:val="single" w:sz="8" w:space="0" w:color="000000"/>
              <w:right w:val="single" w:sz="8" w:space="0" w:color="000000"/>
            </w:tcBorders>
            <w:vAlign w:val="center"/>
            <w:hideMark/>
          </w:tcPr>
          <w:p w14:paraId="2EB7B166"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490" w:type="dxa"/>
            <w:tcBorders>
              <w:top w:val="nil"/>
              <w:left w:val="nil"/>
              <w:bottom w:val="single" w:sz="8" w:space="0" w:color="000000"/>
              <w:right w:val="single" w:sz="8" w:space="0" w:color="000000"/>
            </w:tcBorders>
            <w:vAlign w:val="center"/>
            <w:hideMark/>
          </w:tcPr>
          <w:p w14:paraId="581D66E7"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1381" w:type="dxa"/>
            <w:tcBorders>
              <w:top w:val="nil"/>
              <w:left w:val="nil"/>
              <w:bottom w:val="single" w:sz="8" w:space="0" w:color="000000"/>
              <w:right w:val="single" w:sz="8" w:space="0" w:color="000000"/>
            </w:tcBorders>
            <w:vAlign w:val="center"/>
            <w:hideMark/>
          </w:tcPr>
          <w:p w14:paraId="7B018561"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867" w:type="dxa"/>
            <w:tcBorders>
              <w:top w:val="nil"/>
              <w:left w:val="nil"/>
              <w:bottom w:val="single" w:sz="8" w:space="0" w:color="000000"/>
              <w:right w:val="single" w:sz="8" w:space="0" w:color="000000"/>
            </w:tcBorders>
            <w:vAlign w:val="center"/>
            <w:hideMark/>
          </w:tcPr>
          <w:p w14:paraId="0466D5CD"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1017" w:type="dxa"/>
            <w:tcBorders>
              <w:top w:val="nil"/>
              <w:left w:val="nil"/>
              <w:bottom w:val="single" w:sz="8" w:space="0" w:color="000000"/>
              <w:right w:val="single" w:sz="8" w:space="0" w:color="000000"/>
            </w:tcBorders>
            <w:vAlign w:val="center"/>
            <w:hideMark/>
          </w:tcPr>
          <w:p w14:paraId="7824BAD0" w14:textId="77777777" w:rsidR="00207D43" w:rsidRPr="00207D43" w:rsidRDefault="00207D43" w:rsidP="00207D43">
            <w:pPr>
              <w:widowControl/>
              <w:jc w:val="left"/>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1406" w:type="dxa"/>
            <w:tcBorders>
              <w:top w:val="nil"/>
              <w:left w:val="nil"/>
              <w:bottom w:val="single" w:sz="8" w:space="0" w:color="000000"/>
            </w:tcBorders>
            <w:vAlign w:val="center"/>
            <w:hideMark/>
          </w:tcPr>
          <w:p w14:paraId="341FB73F" w14:textId="77777777" w:rsidR="00207D43" w:rsidRPr="00207D43" w:rsidRDefault="00207D43" w:rsidP="00207D43">
            <w:pPr>
              <w:widowControl/>
              <w:jc w:val="center"/>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c>
          <w:tcPr>
            <w:tcW w:w="1431" w:type="dxa"/>
            <w:tcBorders>
              <w:top w:val="nil"/>
              <w:left w:val="single" w:sz="4" w:space="0" w:color="000000"/>
              <w:bottom w:val="single" w:sz="8" w:space="0" w:color="000000"/>
              <w:right w:val="single" w:sz="8" w:space="0" w:color="000000"/>
            </w:tcBorders>
            <w:vAlign w:val="center"/>
            <w:hideMark/>
          </w:tcPr>
          <w:p w14:paraId="3FC5C520" w14:textId="77777777" w:rsidR="00207D43" w:rsidRPr="00207D43" w:rsidRDefault="00207D43" w:rsidP="00207D43">
            <w:pPr>
              <w:widowControl/>
              <w:jc w:val="left"/>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tc>
      </w:tr>
    </w:tbl>
    <w:p w14:paraId="20A9CECA" w14:textId="77777777" w:rsidR="00207D43" w:rsidRPr="00207D43" w:rsidRDefault="00207D43" w:rsidP="00207D43">
      <w:pPr>
        <w:widowControl/>
        <w:wordWrap w:val="0"/>
        <w:spacing w:line="338" w:lineRule="atLeast"/>
        <w:jc w:val="left"/>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 </w:t>
      </w:r>
    </w:p>
    <w:p w14:paraId="2D6EE69D" w14:textId="77777777" w:rsidR="00207D43" w:rsidRPr="00207D43" w:rsidRDefault="00207D43" w:rsidP="00207D43">
      <w:pPr>
        <w:widowControl/>
        <w:wordWrap w:val="0"/>
        <w:spacing w:line="338" w:lineRule="atLeast"/>
        <w:jc w:val="left"/>
        <w:rPr>
          <w:rFonts w:ascii="微软雅黑" w:eastAsia="微软雅黑" w:hAnsi="微软雅黑" w:cs="Times New Roman"/>
          <w:color w:val="000000"/>
          <w:kern w:val="0"/>
          <w:sz w:val="23"/>
          <w:szCs w:val="23"/>
        </w:rPr>
      </w:pPr>
      <w:r w:rsidRPr="00207D43">
        <w:rPr>
          <w:rFonts w:ascii="宋体" w:eastAsia="宋体" w:hAnsi="宋体" w:cs="Times New Roman" w:hint="eastAsia"/>
          <w:color w:val="000000"/>
          <w:kern w:val="0"/>
        </w:rPr>
        <w:t>备注：在“获得荣誉”栏目请写何年何月被何单位授予省级特级教师或省级名师、省级学科带头人、省级名校（园）长、专家型教师。</w:t>
      </w:r>
    </w:p>
    <w:p w14:paraId="1291D69A" w14:textId="77777777" w:rsidR="00B87A50" w:rsidRDefault="00B87A50"/>
    <w:sectPr w:rsidR="00B87A50"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D43"/>
    <w:rsid w:val="00207D43"/>
    <w:rsid w:val="00730566"/>
    <w:rsid w:val="00731959"/>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73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207D43"/>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207D43"/>
    <w:rPr>
      <w:rFonts w:ascii="Times New Roman" w:hAnsi="Times New Roman" w:cs="Times New Roman"/>
      <w:b/>
      <w:bCs/>
      <w:kern w:val="0"/>
      <w:sz w:val="27"/>
      <w:szCs w:val="27"/>
    </w:rPr>
  </w:style>
  <w:style w:type="paragraph" w:customStyle="1" w:styleId="time">
    <w:name w:val="time"/>
    <w:basedOn w:val="a"/>
    <w:rsid w:val="00207D43"/>
    <w:pPr>
      <w:widowControl/>
      <w:spacing w:before="100" w:beforeAutospacing="1" w:after="100" w:afterAutospacing="1"/>
      <w:jc w:val="left"/>
    </w:pPr>
    <w:rPr>
      <w:rFonts w:ascii="Times New Roman" w:hAnsi="Times New Roman" w:cs="Times New Roman"/>
      <w:kern w:val="0"/>
    </w:rPr>
  </w:style>
  <w:style w:type="paragraph" w:styleId="a3">
    <w:name w:val="Normal (Web)"/>
    <w:basedOn w:val="a"/>
    <w:uiPriority w:val="99"/>
    <w:semiHidden/>
    <w:unhideWhenUsed/>
    <w:rsid w:val="00207D43"/>
    <w:pPr>
      <w:widowControl/>
      <w:spacing w:before="100" w:beforeAutospacing="1" w:after="100" w:afterAutospacing="1"/>
      <w:jc w:val="left"/>
    </w:pPr>
    <w:rPr>
      <w:rFonts w:ascii="Times New Roman" w:hAnsi="Times New Roman" w:cs="Times New Roman"/>
      <w:kern w:val="0"/>
    </w:rPr>
  </w:style>
  <w:style w:type="paragraph" w:customStyle="1" w:styleId="p">
    <w:name w:val="p"/>
    <w:basedOn w:val="a"/>
    <w:rsid w:val="00207D43"/>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2123">
      <w:bodyDiv w:val="1"/>
      <w:marLeft w:val="0"/>
      <w:marRight w:val="0"/>
      <w:marTop w:val="0"/>
      <w:marBottom w:val="0"/>
      <w:divBdr>
        <w:top w:val="none" w:sz="0" w:space="0" w:color="auto"/>
        <w:left w:val="none" w:sz="0" w:space="0" w:color="auto"/>
        <w:bottom w:val="none" w:sz="0" w:space="0" w:color="auto"/>
        <w:right w:val="none" w:sz="0" w:space="0" w:color="auto"/>
      </w:divBdr>
      <w:divsChild>
        <w:div w:id="1378118366">
          <w:marLeft w:val="0"/>
          <w:marRight w:val="0"/>
          <w:marTop w:val="180"/>
          <w:marBottom w:val="0"/>
          <w:divBdr>
            <w:top w:val="none" w:sz="0" w:space="0" w:color="auto"/>
            <w:left w:val="none" w:sz="0" w:space="0" w:color="auto"/>
            <w:bottom w:val="none" w:sz="0" w:space="0" w:color="auto"/>
            <w:right w:val="none" w:sz="0" w:space="0" w:color="auto"/>
          </w:divBdr>
          <w:divsChild>
            <w:div w:id="1869683489">
              <w:marLeft w:val="0"/>
              <w:marRight w:val="0"/>
              <w:marTop w:val="0"/>
              <w:marBottom w:val="0"/>
              <w:divBdr>
                <w:top w:val="none" w:sz="0" w:space="0" w:color="auto"/>
                <w:left w:val="none" w:sz="0" w:space="0" w:color="auto"/>
                <w:bottom w:val="none" w:sz="0" w:space="0" w:color="auto"/>
                <w:right w:val="none" w:sz="0" w:space="0" w:color="auto"/>
              </w:divBdr>
              <w:divsChild>
                <w:div w:id="1978684268">
                  <w:marLeft w:val="0"/>
                  <w:marRight w:val="0"/>
                  <w:marTop w:val="0"/>
                  <w:marBottom w:val="0"/>
                  <w:divBdr>
                    <w:top w:val="none" w:sz="0" w:space="0" w:color="auto"/>
                    <w:left w:val="none" w:sz="0" w:space="0" w:color="auto"/>
                    <w:bottom w:val="none" w:sz="0" w:space="0" w:color="auto"/>
                    <w:right w:val="none" w:sz="0" w:space="0" w:color="auto"/>
                  </w:divBdr>
                  <w:divsChild>
                    <w:div w:id="1160344608">
                      <w:marLeft w:val="0"/>
                      <w:marRight w:val="0"/>
                      <w:marTop w:val="0"/>
                      <w:marBottom w:val="0"/>
                      <w:divBdr>
                        <w:top w:val="none" w:sz="0" w:space="0" w:color="auto"/>
                        <w:left w:val="none" w:sz="0" w:space="0" w:color="auto"/>
                        <w:bottom w:val="none" w:sz="0" w:space="0" w:color="auto"/>
                        <w:right w:val="none" w:sz="0" w:space="0" w:color="auto"/>
                      </w:divBdr>
                    </w:div>
                    <w:div w:id="7767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1369</Words>
  <Characters>7804</Characters>
  <Application>Microsoft Office Word</Application>
  <DocSecurity>0</DocSecurity>
  <Lines>65</Lines>
  <Paragraphs>18</Paragraphs>
  <ScaleCrop>false</ScaleCrop>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个人用户</cp:lastModifiedBy>
  <cp:revision>2</cp:revision>
  <dcterms:created xsi:type="dcterms:W3CDTF">2018-06-10T14:15:00Z</dcterms:created>
  <dcterms:modified xsi:type="dcterms:W3CDTF">2018-10-18T08:28:00Z</dcterms:modified>
</cp:coreProperties>
</file>