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69" w:rsidRPr="00857A69" w:rsidRDefault="00857A69" w:rsidP="00857A69">
      <w:pPr>
        <w:widowControl/>
        <w:shd w:val="clear" w:color="auto" w:fill="FFFFFF"/>
        <w:spacing w:line="600" w:lineRule="atLeast"/>
        <w:jc w:val="left"/>
        <w:outlineLvl w:val="0"/>
        <w:rPr>
          <w:rFonts w:ascii="Arial" w:eastAsia="宋体" w:hAnsi="Arial" w:cs="Arial"/>
          <w:color w:val="033266"/>
          <w:kern w:val="36"/>
          <w:sz w:val="36"/>
          <w:szCs w:val="36"/>
        </w:rPr>
      </w:pPr>
      <w:r w:rsidRPr="00857A69">
        <w:rPr>
          <w:rFonts w:ascii="Arial" w:eastAsia="宋体" w:hAnsi="Arial" w:cs="Arial"/>
          <w:color w:val="033266"/>
          <w:kern w:val="36"/>
          <w:sz w:val="36"/>
          <w:szCs w:val="36"/>
        </w:rPr>
        <w:t>长春市朝阳区招商引资优惠政策</w:t>
      </w:r>
    </w:p>
    <w:p w:rsidR="00857A69" w:rsidRPr="00857A69" w:rsidRDefault="00857A69" w:rsidP="00857A69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857A69">
        <w:rPr>
          <w:rFonts w:ascii="Arial" w:eastAsia="宋体" w:hAnsi="Arial" w:cs="Arial"/>
          <w:color w:val="BBBBBB"/>
          <w:kern w:val="0"/>
          <w:sz w:val="18"/>
          <w:szCs w:val="18"/>
        </w:rPr>
        <w:t>作者：</w:t>
      </w:r>
      <w:r w:rsidRPr="00857A69">
        <w:rPr>
          <w:rFonts w:ascii="Arial" w:eastAsia="宋体" w:hAnsi="Arial" w:cs="Arial"/>
          <w:color w:val="BBBBBB"/>
          <w:kern w:val="0"/>
          <w:sz w:val="18"/>
          <w:szCs w:val="18"/>
        </w:rPr>
        <w:t>927</w:t>
      </w:r>
    </w:p>
    <w:p w:rsidR="00857A69" w:rsidRPr="00857A69" w:rsidRDefault="00857A69" w:rsidP="00857A69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857A69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161925" cy="161925"/>
            <wp:effectExtent l="0" t="0" r="9525" b="9525"/>
            <wp:docPr id="2" name="图片 2" descr="发布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发布时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A69" w:rsidRPr="00857A69" w:rsidRDefault="00857A69" w:rsidP="00857A69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857A69">
        <w:rPr>
          <w:rFonts w:ascii="Arial" w:eastAsia="宋体" w:hAnsi="Arial" w:cs="Arial"/>
          <w:color w:val="BBBBBB"/>
          <w:kern w:val="0"/>
          <w:sz w:val="18"/>
          <w:szCs w:val="18"/>
        </w:rPr>
        <w:t>2011/09/01/ 18:34</w:t>
      </w:r>
    </w:p>
    <w:p w:rsidR="00857A69" w:rsidRPr="00857A69" w:rsidRDefault="00857A69" w:rsidP="00857A69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Cs w:val="21"/>
        </w:rPr>
      </w:pPr>
      <w:r w:rsidRPr="00857A69">
        <w:rPr>
          <w:rFonts w:ascii="Arial" w:eastAsia="宋体" w:hAnsi="Arial" w:cs="Arial"/>
          <w:noProof/>
          <w:color w:val="033266"/>
          <w:kern w:val="0"/>
          <w:szCs w:val="21"/>
        </w:rPr>
        <w:drawing>
          <wp:inline distT="0" distB="0" distL="0" distR="0">
            <wp:extent cx="209550" cy="161925"/>
            <wp:effectExtent l="0" t="0" r="0" b="9525"/>
            <wp:docPr id="1" name="图片 1" descr="来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来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A69" w:rsidRPr="00857A69" w:rsidRDefault="00857A69" w:rsidP="00857A69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BBBBBB"/>
          <w:kern w:val="0"/>
          <w:sz w:val="18"/>
          <w:szCs w:val="18"/>
        </w:rPr>
      </w:pPr>
      <w:r w:rsidRPr="00857A69">
        <w:rPr>
          <w:rFonts w:ascii="Arial" w:eastAsia="宋体" w:hAnsi="Arial" w:cs="Arial"/>
          <w:color w:val="BBBBBB"/>
          <w:kern w:val="0"/>
          <w:sz w:val="18"/>
          <w:szCs w:val="18"/>
        </w:rPr>
        <w:t>长春市人民政府网</w:t>
      </w:r>
    </w:p>
    <w:p w:rsidR="00857A69" w:rsidRPr="00857A69" w:rsidRDefault="00857A69" w:rsidP="00857A69">
      <w:pPr>
        <w:widowControl/>
        <w:shd w:val="clear" w:color="auto" w:fill="FFFFFF"/>
        <w:jc w:val="left"/>
        <w:rPr>
          <w:rFonts w:ascii="Arial" w:eastAsia="宋体" w:hAnsi="Arial" w:cs="Arial"/>
          <w:color w:val="033266"/>
          <w:kern w:val="0"/>
          <w:sz w:val="20"/>
          <w:szCs w:val="20"/>
        </w:rPr>
      </w:pPr>
      <w:hyperlink r:id="rId6" w:tooltip="分享到" w:history="1">
        <w:r w:rsidRPr="00857A69">
          <w:rPr>
            <w:rFonts w:ascii="微软雅黑" w:eastAsia="微软雅黑" w:hAnsi="微软雅黑" w:cs="Arial" w:hint="eastAsia"/>
            <w:b/>
            <w:bCs/>
            <w:color w:val="333333"/>
            <w:kern w:val="0"/>
            <w:sz w:val="20"/>
            <w:szCs w:val="20"/>
            <w:u w:val="single"/>
            <w:bdr w:val="none" w:sz="0" w:space="0" w:color="auto" w:frame="1"/>
          </w:rPr>
          <w:t>分享到：</w:t>
        </w:r>
      </w:hyperlink>
      <w:r w:rsidRPr="00857A69">
        <w:rPr>
          <w:rFonts w:ascii="Arial" w:eastAsia="宋体" w:hAnsi="Arial" w:cs="Arial"/>
          <w:b/>
          <w:bCs/>
          <w:color w:val="333333"/>
          <w:kern w:val="0"/>
          <w:sz w:val="17"/>
          <w:szCs w:val="17"/>
          <w:bdr w:val="none" w:sz="0" w:space="0" w:color="auto" w:frame="1"/>
        </w:rPr>
        <w:t>0</w:t>
      </w:r>
    </w:p>
    <w:p w:rsidR="00857A69" w:rsidRPr="00857A69" w:rsidRDefault="00857A69" w:rsidP="00857A69">
      <w:pPr>
        <w:widowControl/>
        <w:shd w:val="clear" w:color="auto" w:fill="F7F7FF"/>
        <w:spacing w:line="405" w:lineRule="atLeast"/>
        <w:jc w:val="left"/>
        <w:outlineLvl w:val="1"/>
        <w:rPr>
          <w:rFonts w:ascii="Arial" w:eastAsia="宋体" w:hAnsi="Arial" w:cs="Arial"/>
          <w:color w:val="212E64"/>
          <w:kern w:val="0"/>
          <w:sz w:val="18"/>
          <w:szCs w:val="18"/>
        </w:rPr>
      </w:pPr>
      <w:r w:rsidRPr="00857A69">
        <w:rPr>
          <w:rFonts w:ascii="Arial" w:eastAsia="宋体" w:hAnsi="Arial" w:cs="Arial"/>
          <w:color w:val="FFFFFF"/>
          <w:kern w:val="0"/>
          <w:sz w:val="18"/>
          <w:szCs w:val="18"/>
          <w:bdr w:val="none" w:sz="0" w:space="0" w:color="auto" w:frame="1"/>
          <w:shd w:val="clear" w:color="auto" w:fill="608FAF"/>
        </w:rPr>
        <w:t>摘要</w:t>
      </w:r>
      <w:r w:rsidRPr="00857A69">
        <w:rPr>
          <w:rFonts w:ascii="宋体" w:eastAsia="宋体" w:hAnsi="宋体" w:cs="宋体" w:hint="eastAsia"/>
          <w:color w:val="608FAF"/>
          <w:kern w:val="0"/>
          <w:sz w:val="18"/>
          <w:szCs w:val="18"/>
          <w:bdr w:val="none" w:sz="0" w:space="0" w:color="auto" w:frame="1"/>
        </w:rPr>
        <w:t>◆</w:t>
      </w:r>
      <w:r w:rsidRPr="00857A69">
        <w:rPr>
          <w:rFonts w:ascii="Arial" w:eastAsia="宋体" w:hAnsi="Arial" w:cs="Arial"/>
          <w:color w:val="212E64"/>
          <w:kern w:val="0"/>
          <w:sz w:val="18"/>
          <w:szCs w:val="18"/>
        </w:rPr>
        <w:t>根据长春市朝阳区委、长春市朝阳区人民政府《关于加快朝阳区经济发展的若干规定》的规定，凡来朝阳区投资兴业者，符合下列条件的可享受如下方面的优惠政策</w:t>
      </w:r>
      <w:r w:rsidRPr="00857A69">
        <w:rPr>
          <w:rFonts w:ascii="Arial" w:eastAsia="宋体" w:hAnsi="Arial" w:cs="Arial"/>
          <w:color w:val="212E64"/>
          <w:kern w:val="0"/>
          <w:sz w:val="18"/>
          <w:szCs w:val="18"/>
        </w:rPr>
        <w:t xml:space="preserve"> </w:t>
      </w:r>
      <w:r w:rsidRPr="00857A69">
        <w:rPr>
          <w:rFonts w:ascii="Arial" w:eastAsia="宋体" w:hAnsi="Arial" w:cs="Arial"/>
          <w:color w:val="212E64"/>
          <w:kern w:val="0"/>
          <w:sz w:val="18"/>
          <w:szCs w:val="18"/>
        </w:rPr>
        <w:t>一、属于高新技术产</w:t>
      </w:r>
    </w:p>
    <w:p w:rsidR="00857A69" w:rsidRPr="00857A69" w:rsidRDefault="00857A69" w:rsidP="00857A69">
      <w:pPr>
        <w:widowControl/>
        <w:shd w:val="clear" w:color="auto" w:fill="FFFFFF"/>
        <w:spacing w:line="450" w:lineRule="atLeast"/>
        <w:jc w:val="left"/>
        <w:rPr>
          <w:rFonts w:ascii="Arial" w:eastAsia="宋体" w:hAnsi="Arial" w:cs="Arial"/>
          <w:color w:val="444444"/>
          <w:kern w:val="0"/>
          <w:sz w:val="24"/>
          <w:szCs w:val="24"/>
        </w:rPr>
      </w:pP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   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根据</w:t>
      </w:r>
      <w:hyperlink r:id="rId7" w:tgtFrame="_blank" w:history="1">
        <w:r w:rsidRPr="00857A69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长春</w:t>
        </w:r>
      </w:hyperlink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市</w:t>
      </w:r>
      <w:hyperlink r:id="rId8" w:tgtFrame="_blank" w:history="1">
        <w:r w:rsidRPr="00857A69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朝阳区</w:t>
        </w:r>
      </w:hyperlink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委、长春市</w:t>
      </w:r>
      <w:hyperlink r:id="rId9" w:tgtFrame="_blank" w:history="1">
        <w:r w:rsidRPr="00857A69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朝阳区</w:t>
        </w:r>
      </w:hyperlink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人民政府《关于加快朝阳区经济发展的若干规定》的规定，凡来朝阳区</w:t>
      </w:r>
      <w:hyperlink r:id="rId10" w:tgtFrame="_blank" w:history="1">
        <w:r w:rsidRPr="00857A69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投资</w:t>
        </w:r>
      </w:hyperlink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兴业者，符合下列条件的可享受如下方面的优惠政策　　一、属于</w:t>
      </w:r>
      <w:hyperlink r:id="rId11" w:tgtFrame="_blank" w:history="1">
        <w:r w:rsidRPr="00857A69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高新技术</w:t>
        </w:r>
      </w:hyperlink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产业、</w:t>
      </w:r>
      <w:hyperlink r:id="rId12" w:tgtFrame="_blank" w:history="1">
        <w:r w:rsidRPr="00857A69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汽车</w:t>
        </w:r>
      </w:hyperlink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零部件加工业、粮食深加工及规模超过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3000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万元的项目可优先进入长春工业经济开发区（下称开发区），并对企业建设用（收费标准为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145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元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/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每平方米）给予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15%-20%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的优惠。　　二、对规模大、效益好的企业，可根据实际情况，对开发区城市配套费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(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共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7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项，收费标准为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150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元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/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每平方米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)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给予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10%-40%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的优惠。　　三、凡是到开发区投资办企业，前置手续由开发区管委会负责协助办理到位；水、电、气由开发区负责直接接到企业现场。除国家法定的收费项目外，开发区不再向企业收取其它费用。　　四、在开发区开办企业，自投产之日起，其所得税由开发区按本级财政入库数的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，返还企业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年。　　五、凡是落户开发区的企业，享受省级开发区税收政策待遇。　　企业研究开发新产品、新技术、新工艺所发生的各项费用不受比例限制，计入管理费用。　　企业研究开发新产品、新技术、新工艺所发生的各项费用应逐年增长，增长幅度在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10%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以上的企业，可再按实际发生额的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50%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抵扣应税所得额。　　企业进行技术转让，以及在技术转让过程中发生的与技术转让有关的技术咨询、技术服务、技术</w:t>
      </w:r>
      <w:hyperlink r:id="rId13" w:tgtFrame="_blank" w:history="1">
        <w:r w:rsidRPr="00857A69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培训</w:t>
        </w:r>
      </w:hyperlink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所得，年净收入在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30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万元以下的，暂免征收企业的所得税；超过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30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万元的，超收部分依法缴纳企业所得税。　　企业为验证、补充相关数据，确定完善技术规范或解决产业化、商品化规模生产关键技术而进行中间试验，报经主管财税机关批准后，中试设备的折旧年限可在国家规定的基础上加速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30%-50%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。　　六、在开发区投资千万元以上的外埠投资人，根据本人意愿，由开发区负责解决其家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lastRenderedPageBreak/>
        <w:t>属的户籍及子女的择校入学问题。　　七、对新办服务型（或商贸）企业当年新招用下岗失业人员达到职工总数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（含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）以上的，并与其签订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年以上期限劳动合同的，经县级以上（含县级）税务机关审核同意后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年内免征企业应缴纳的营业税（商贸企业不免此税种）、城市维护建设费、</w:t>
      </w:r>
      <w:hyperlink r:id="rId14" w:tgtFrame="_blank" w:history="1">
        <w:r w:rsidRPr="00857A69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教育</w:t>
        </w:r>
      </w:hyperlink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附加费和企业所得税。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企业当年新招用下岗失业人员不足职工总数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的，但与其签订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年以上期限劳动合同的，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3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年内按计算的减征比例减征企业所得税。减征比例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=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（企业当年新招用的下岗失业人员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÷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企业职工总数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×100%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）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×2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。　　八、凡工商注册、税务登记在朝阳区的民营企业，从金融单位取得技术改造和基础设施建设项目贷款，并用于区内企业技术改造和基础设施建设的，区财政给予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1%-2%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的贴息。　　九、属于引进</w:t>
      </w:r>
      <w:hyperlink r:id="rId15" w:tgtFrame="_blank" w:history="1">
        <w:r w:rsidRPr="00857A69">
          <w:rPr>
            <w:rFonts w:ascii="微软雅黑" w:eastAsia="微软雅黑" w:hAnsi="微软雅黑" w:cs="Arial" w:hint="eastAsia"/>
            <w:color w:val="CC0000"/>
            <w:kern w:val="0"/>
            <w:sz w:val="24"/>
            <w:szCs w:val="24"/>
            <w:u w:val="single"/>
            <w:bdr w:val="none" w:sz="0" w:space="0" w:color="auto" w:frame="1"/>
          </w:rPr>
          <w:t>高新技术</w:t>
        </w:r>
      </w:hyperlink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产业项目的，经长春市科委认定后，可从区科技三项费用中给予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0.5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的贷款贴息。　　十、凡落户开发区、在朝阳区属地纳税、年实现全口径税收在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100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万元以上的企业，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按照完成数额进行排序，由区委、区政府颁发奖牌。对排在前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10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名的企业，颁发具有一定价值的纳税贡献突出奖奖牌，每年在全区通报；税收在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200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万元以上的企业，按所交税额（营业税、增值税、企业所得税之和）区留用部分的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5%-10%</w:t>
      </w:r>
      <w:r w:rsidRPr="00857A69">
        <w:rPr>
          <w:rFonts w:ascii="Arial" w:eastAsia="宋体" w:hAnsi="Arial" w:cs="Arial"/>
          <w:color w:val="444444"/>
          <w:kern w:val="0"/>
          <w:sz w:val="24"/>
          <w:szCs w:val="24"/>
        </w:rPr>
        <w:t>予以奖励，当年决算后兑现，奖金由区财政支付。　　十一、对投资规模大、效益前景好的企业可一事一议，给予进一步的优惠。</w:t>
      </w:r>
    </w:p>
    <w:p w:rsidR="009201FC" w:rsidRDefault="00857A69">
      <w:pPr>
        <w:rPr>
          <w:rFonts w:hint="eastAsia"/>
        </w:rPr>
      </w:pPr>
      <w:bookmarkStart w:id="0" w:name="_GoBack"/>
      <w:bookmarkEnd w:id="0"/>
    </w:p>
    <w:sectPr w:rsidR="00920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68"/>
    <w:rsid w:val="00857A69"/>
    <w:rsid w:val="008E7468"/>
    <w:rsid w:val="00C441EA"/>
    <w:rsid w:val="00D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7D9C6-80FB-4A3A-8EC7-88B52425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57A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57A6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57A6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857A69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57A69"/>
    <w:rPr>
      <w:color w:val="0000FF"/>
      <w:u w:val="single"/>
    </w:rPr>
  </w:style>
  <w:style w:type="character" w:customStyle="1" w:styleId="bsharecount">
    <w:name w:val="bshare_count"/>
    <w:basedOn w:val="a0"/>
    <w:rsid w:val="00857A69"/>
  </w:style>
  <w:style w:type="character" w:customStyle="1" w:styleId="sumcolor">
    <w:name w:val="sum_color"/>
    <w:basedOn w:val="a0"/>
    <w:rsid w:val="00857A69"/>
  </w:style>
  <w:style w:type="character" w:customStyle="1" w:styleId="sumtir">
    <w:name w:val="sum_tir"/>
    <w:basedOn w:val="a0"/>
    <w:rsid w:val="00857A69"/>
  </w:style>
  <w:style w:type="paragraph" w:styleId="a4">
    <w:name w:val="Normal (Web)"/>
    <w:basedOn w:val="a"/>
    <w:uiPriority w:val="99"/>
    <w:semiHidden/>
    <w:unhideWhenUsed/>
    <w:rsid w:val="00857A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6" w:color="E4E4E4"/>
            <w:right w:val="none" w:sz="0" w:space="0" w:color="auto"/>
          </w:divBdr>
          <w:divsChild>
            <w:div w:id="1220242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95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499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93425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8" w:color="auto"/>
            <w:bottom w:val="dashed" w:sz="6" w:space="0" w:color="E4E4E4"/>
            <w:right w:val="none" w:sz="0" w:space="8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county.php?pid=1&amp;cid=51&amp;xid=502" TargetMode="External"/><Relationship Id="rId13" Type="http://schemas.openxmlformats.org/officeDocument/2006/relationships/hyperlink" Target="http://www.zgsxzs.com/industry/107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cate_child.php?pid=14&amp;cid=210" TargetMode="External"/><Relationship Id="rId12" Type="http://schemas.openxmlformats.org/officeDocument/2006/relationships/hyperlink" Target="http://zgsxzs.cn/industry/1088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share.cn/" TargetMode="External"/><Relationship Id="rId11" Type="http://schemas.openxmlformats.org/officeDocument/2006/relationships/hyperlink" Target="http://www.zgsxzs.com/industry/1092.html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zgsxzs.com/industry/1092.html" TargetMode="External"/><Relationship Id="rId10" Type="http://schemas.openxmlformats.org/officeDocument/2006/relationships/hyperlink" Target="http://www.zgsxzs.com/list-1212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zgsxzs.com/county.php?pid=1&amp;cid=51&amp;xid=502" TargetMode="External"/><Relationship Id="rId14" Type="http://schemas.openxmlformats.org/officeDocument/2006/relationships/hyperlink" Target="http://www.zgsxzs.com/industry/107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2018-05-24T10:16:00Z</dcterms:created>
  <dcterms:modified xsi:type="dcterms:W3CDTF">2018-05-24T10:16:00Z</dcterms:modified>
</cp:coreProperties>
</file>