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jc w:val="center"/>
        <w:tblCellSpacing w:w="0" w:type="dxa"/>
        <w:tblCellMar>
          <w:left w:w="0" w:type="dxa"/>
          <w:right w:w="0" w:type="dxa"/>
        </w:tblCellMar>
        <w:tblLook w:val="04A0" w:firstRow="1" w:lastRow="0" w:firstColumn="1" w:lastColumn="0" w:noHBand="0" w:noVBand="1"/>
      </w:tblPr>
      <w:tblGrid>
        <w:gridCol w:w="7974"/>
      </w:tblGrid>
      <w:tr w:rsidR="00742B76" w:rsidRPr="00742B76">
        <w:trPr>
          <w:trHeight w:val="600"/>
          <w:tblCellSpacing w:w="0" w:type="dxa"/>
          <w:jc w:val="center"/>
        </w:trPr>
        <w:tc>
          <w:tcPr>
            <w:tcW w:w="0" w:type="auto"/>
            <w:vAlign w:val="center"/>
            <w:hideMark/>
          </w:tcPr>
          <w:p w:rsidR="00742B76" w:rsidRPr="00742B76" w:rsidRDefault="00742B76" w:rsidP="00742B76">
            <w:pPr>
              <w:widowControl/>
              <w:spacing w:line="408" w:lineRule="auto"/>
              <w:jc w:val="center"/>
              <w:rPr>
                <w:rFonts w:ascii="宋体" w:eastAsia="宋体" w:hAnsi="宋体" w:cs="宋体"/>
                <w:b/>
                <w:bCs/>
                <w:color w:val="000000"/>
                <w:kern w:val="0"/>
                <w:sz w:val="24"/>
                <w:szCs w:val="24"/>
              </w:rPr>
            </w:pPr>
            <w:r w:rsidRPr="00742B76">
              <w:rPr>
                <w:rFonts w:ascii="宋体" w:eastAsia="宋体" w:hAnsi="宋体" w:cs="宋体"/>
                <w:b/>
                <w:bCs/>
                <w:color w:val="000000"/>
                <w:kern w:val="0"/>
                <w:sz w:val="24"/>
                <w:szCs w:val="24"/>
              </w:rPr>
              <w:t>重庆市人民政府办公厅关于鼓励企业加大研发投入推动产业转型升级发展的通知</w:t>
            </w:r>
          </w:p>
        </w:tc>
      </w:tr>
      <w:tr w:rsidR="00742B76" w:rsidRPr="00742B76">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7974"/>
            </w:tblGrid>
            <w:tr w:rsidR="00742B76" w:rsidRPr="00742B76">
              <w:trPr>
                <w:tblCellSpacing w:w="0" w:type="dxa"/>
              </w:trPr>
              <w:tc>
                <w:tcPr>
                  <w:tcW w:w="0" w:type="auto"/>
                  <w:vAlign w:val="center"/>
                  <w:hideMark/>
                </w:tcPr>
                <w:p w:rsidR="00742B76" w:rsidRPr="00742B76" w:rsidRDefault="00742B76" w:rsidP="00742B76">
                  <w:pPr>
                    <w:widowControl/>
                    <w:spacing w:line="408" w:lineRule="auto"/>
                    <w:jc w:val="right"/>
                    <w:rPr>
                      <w:rFonts w:ascii="宋体" w:eastAsia="宋体" w:hAnsi="宋体" w:cs="宋体"/>
                      <w:color w:val="000000"/>
                      <w:kern w:val="0"/>
                      <w:sz w:val="18"/>
                      <w:szCs w:val="18"/>
                    </w:rPr>
                  </w:pPr>
                  <w:bookmarkStart w:id="0" w:name="_GoBack"/>
                  <w:bookmarkEnd w:id="0"/>
                  <w:r w:rsidRPr="00742B76">
                    <w:rPr>
                      <w:rFonts w:ascii="宋体" w:eastAsia="宋体" w:hAnsi="宋体" w:cs="宋体"/>
                      <w:noProof/>
                      <w:color w:val="000000"/>
                      <w:kern w:val="0"/>
                      <w:sz w:val="18"/>
                      <w:szCs w:val="18"/>
                    </w:rPr>
                    <w:drawing>
                      <wp:inline distT="0" distB="0" distL="0" distR="0">
                        <wp:extent cx="133350" cy="85725"/>
                        <wp:effectExtent l="0" t="0" r="0" b="9525"/>
                        <wp:docPr id="1" name="图片 1" descr="http://www.cstc.gov.cn/images/v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tc.gov.cn/images/v_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85725"/>
                                </a:xfrm>
                                <a:prstGeom prst="rect">
                                  <a:avLst/>
                                </a:prstGeom>
                                <a:noFill/>
                                <a:ln>
                                  <a:noFill/>
                                </a:ln>
                              </pic:spPr>
                            </pic:pic>
                          </a:graphicData>
                        </a:graphic>
                      </wp:inline>
                    </w:drawing>
                  </w:r>
                </w:p>
              </w:tc>
            </w:tr>
          </w:tbl>
          <w:p w:rsidR="00742B76" w:rsidRPr="00742B76" w:rsidRDefault="00742B76" w:rsidP="00742B76">
            <w:pPr>
              <w:widowControl/>
              <w:spacing w:line="408" w:lineRule="auto"/>
              <w:jc w:val="left"/>
              <w:rPr>
                <w:rFonts w:ascii="宋体" w:eastAsia="宋体" w:hAnsi="宋体" w:cs="宋体"/>
                <w:color w:val="000000"/>
                <w:kern w:val="0"/>
                <w:sz w:val="18"/>
                <w:szCs w:val="18"/>
              </w:rPr>
            </w:pPr>
          </w:p>
        </w:tc>
      </w:tr>
      <w:tr w:rsidR="00742B76" w:rsidRPr="00742B76">
        <w:trPr>
          <w:tblCellSpacing w:w="0" w:type="dxa"/>
          <w:jc w:val="center"/>
        </w:trPr>
        <w:tc>
          <w:tcPr>
            <w:tcW w:w="0" w:type="auto"/>
            <w:tcMar>
              <w:top w:w="225" w:type="dxa"/>
              <w:left w:w="0" w:type="dxa"/>
              <w:bottom w:w="0" w:type="dxa"/>
              <w:right w:w="0" w:type="dxa"/>
            </w:tcMar>
            <w:vAlign w:val="center"/>
            <w:hideMark/>
          </w:tcPr>
          <w:p w:rsidR="00742B76" w:rsidRPr="00742B76" w:rsidRDefault="00742B76" w:rsidP="00742B76">
            <w:pPr>
              <w:widowControl/>
              <w:spacing w:line="408" w:lineRule="auto"/>
              <w:jc w:val="center"/>
              <w:rPr>
                <w:rFonts w:ascii="宋体" w:eastAsia="宋体" w:hAnsi="宋体" w:cs="宋体"/>
                <w:color w:val="000000"/>
                <w:kern w:val="0"/>
                <w:szCs w:val="21"/>
              </w:rPr>
            </w:pPr>
            <w:r w:rsidRPr="00742B76">
              <w:rPr>
                <w:rFonts w:ascii="宋体" w:eastAsia="宋体" w:hAnsi="宋体" w:cs="宋体"/>
                <w:color w:val="000000"/>
                <w:kern w:val="0"/>
                <w:szCs w:val="21"/>
              </w:rPr>
              <w:t xml:space="preserve">　　重庆市人民政府办公厅关于鼓励企业加大研发投入推动产业转型升级发展的通知</w:t>
            </w:r>
          </w:p>
          <w:p w:rsidR="00742B76" w:rsidRPr="00742B76" w:rsidRDefault="00742B76" w:rsidP="00742B76">
            <w:pPr>
              <w:widowControl/>
              <w:spacing w:line="408" w:lineRule="auto"/>
              <w:jc w:val="center"/>
              <w:rPr>
                <w:rFonts w:ascii="宋体" w:eastAsia="宋体" w:hAnsi="宋体" w:cs="宋体"/>
                <w:color w:val="000000"/>
                <w:kern w:val="0"/>
                <w:szCs w:val="21"/>
              </w:rPr>
            </w:pPr>
            <w:r w:rsidRPr="00742B76">
              <w:rPr>
                <w:rFonts w:ascii="宋体" w:eastAsia="宋体" w:hAnsi="宋体" w:cs="宋体"/>
                <w:color w:val="000000"/>
                <w:kern w:val="0"/>
                <w:szCs w:val="21"/>
              </w:rPr>
              <w:t xml:space="preserve">　　</w:t>
            </w:r>
          </w:p>
          <w:p w:rsidR="00742B76" w:rsidRPr="00742B76" w:rsidRDefault="00742B76" w:rsidP="00742B76">
            <w:pPr>
              <w:widowControl/>
              <w:spacing w:line="408" w:lineRule="auto"/>
              <w:jc w:val="center"/>
              <w:rPr>
                <w:rFonts w:ascii="宋体" w:eastAsia="宋体" w:hAnsi="宋体" w:cs="宋体"/>
                <w:color w:val="000000"/>
                <w:kern w:val="0"/>
                <w:szCs w:val="21"/>
              </w:rPr>
            </w:pPr>
            <w:r w:rsidRPr="00742B76">
              <w:rPr>
                <w:rFonts w:ascii="宋体" w:eastAsia="宋体" w:hAnsi="宋体" w:cs="宋体"/>
                <w:color w:val="000000"/>
                <w:kern w:val="0"/>
                <w:szCs w:val="21"/>
              </w:rPr>
              <w:t xml:space="preserve">　　渝府办发[2015]147号</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各区县(自治县)人民政府，市政府各部门，有关单位：</w:t>
            </w:r>
            <w:r w:rsidRPr="00742B76">
              <w:rPr>
                <w:rFonts w:ascii="宋体" w:eastAsia="宋体" w:hAnsi="宋体" w:cs="宋体"/>
                <w:color w:val="000000"/>
                <w:kern w:val="0"/>
                <w:szCs w:val="21"/>
              </w:rPr>
              <w:br/>
              <w:t xml:space="preserve">　　为贯彻落实《中共中央国务院关于深化体制机制改革加快实施创新驱动发展战略的若干意见》(中发[2015]8号)和《重庆市深化体制机制改革加快实施创新驱动战略行动计划(2015―2020年)》精神，促进企业加大研发投入力度，充分发挥企业技术创新主体作用，推动产业转型升级发展，经市政府同意，现就鼓励企业加大研发投入推动产业转型升级发展有关事项通知如下。</w:t>
            </w:r>
            <w:r w:rsidRPr="00742B76">
              <w:rPr>
                <w:rFonts w:ascii="宋体" w:eastAsia="宋体" w:hAnsi="宋体" w:cs="宋体"/>
                <w:color w:val="000000"/>
                <w:kern w:val="0"/>
                <w:szCs w:val="21"/>
              </w:rPr>
              <w:br/>
              <w:t xml:space="preserve">　　一、主要目标</w:t>
            </w:r>
            <w:r w:rsidRPr="00742B76">
              <w:rPr>
                <w:rFonts w:ascii="宋体" w:eastAsia="宋体" w:hAnsi="宋体" w:cs="宋体"/>
                <w:color w:val="000000"/>
                <w:kern w:val="0"/>
                <w:szCs w:val="21"/>
              </w:rPr>
              <w:br/>
              <w:t xml:space="preserve">　　到2020年，全市规模以上工业企业研发投入超过600亿元；规模以上工业企业研发投入占销售收入的比重超过1.2%，力争达到1.5%，为全社会R&amp;D经费支出占GDP比重达到2%的目标奠定坚实基础；新增国家级企业研发机构20家、市级企业研发机构500家，形成一批在国内同行业中具有领先地位的企业研发机构。</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二、主要措施</w:t>
            </w:r>
            <w:r w:rsidRPr="00742B76">
              <w:rPr>
                <w:rFonts w:ascii="宋体" w:eastAsia="宋体" w:hAnsi="宋体" w:cs="宋体"/>
                <w:color w:val="000000"/>
                <w:kern w:val="0"/>
                <w:szCs w:val="21"/>
              </w:rPr>
              <w:br/>
              <w:t xml:space="preserve">　　(一)积极鼓励企业开展技术创新活动。</w:t>
            </w:r>
            <w:r w:rsidRPr="00742B76">
              <w:rPr>
                <w:rFonts w:ascii="宋体" w:eastAsia="宋体" w:hAnsi="宋体" w:cs="宋体"/>
                <w:color w:val="000000"/>
                <w:kern w:val="0"/>
                <w:szCs w:val="21"/>
              </w:rPr>
              <w:br/>
              <w:t xml:space="preserve">　　1.从2015年起，市财政新增安排1亿元设立重庆市产业技术创新资金，通过项目后补助和股权投资等方式对企业研发活动进行支持。市级各类专项资金进一步加大对企业研发活动的支持力度。(责任单位：市财政局、市经济信息委等)</w:t>
            </w:r>
            <w:r w:rsidRPr="00742B76">
              <w:rPr>
                <w:rFonts w:ascii="宋体" w:eastAsia="宋体" w:hAnsi="宋体" w:cs="宋体"/>
                <w:color w:val="000000"/>
                <w:kern w:val="0"/>
                <w:szCs w:val="21"/>
              </w:rPr>
              <w:br/>
              <w:t xml:space="preserve">　　2.充分发挥重庆市产业引导股权投资基金、战略性新兴产业股权投资基金等基金的作用，吸引更多社会资本、民间投资投入企业研发活动，通过搭建技术与资本的结</w:t>
            </w:r>
            <w:r w:rsidRPr="00742B76">
              <w:rPr>
                <w:rFonts w:ascii="宋体" w:eastAsia="宋体" w:hAnsi="宋体" w:cs="宋体"/>
                <w:color w:val="000000"/>
                <w:kern w:val="0"/>
                <w:szCs w:val="21"/>
              </w:rPr>
              <w:lastRenderedPageBreak/>
              <w:t>合平台，对企业的研发成果产业化以股权投资及间接投入等方式给予支持。(责任单位：市金融办、市财政局、市经济信息委、市科委)</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(二)落实有关税收扶持政策。</w:t>
            </w:r>
            <w:r w:rsidRPr="00742B76">
              <w:rPr>
                <w:rFonts w:ascii="宋体" w:eastAsia="宋体" w:hAnsi="宋体" w:cs="宋体"/>
                <w:color w:val="000000"/>
                <w:kern w:val="0"/>
                <w:szCs w:val="21"/>
              </w:rPr>
              <w:br/>
              <w:t xml:space="preserve">　　1.企业为开发新技术、新产品、新工艺发生的研究开发费用，未形成无形资产计入当期损益的，在按照规定据实扣除的基础上，按照研究开发费用的50%加计扣除；形成无形资产的，按照无形资产成本的150%摊销。(责任单位：市财政局、市国税局、市地税局、市科委、市经济信息委)</w:t>
            </w:r>
            <w:r w:rsidRPr="00742B76">
              <w:rPr>
                <w:rFonts w:ascii="宋体" w:eastAsia="宋体" w:hAnsi="宋体" w:cs="宋体"/>
                <w:color w:val="000000"/>
                <w:kern w:val="0"/>
                <w:szCs w:val="21"/>
              </w:rPr>
              <w:br/>
              <w:t xml:space="preserve">　　2.企业在2014年1月1日后购进并专门用于研发活动的仪器、设备，单位价值不超过100万元的，可以一次性在计算应纳税所得额时扣除；单位价值超过100万元的，允许按不低于《中华人民共和国企业所得税法》规定折旧年限的60%缩短折旧年限，或选择采取双倍余额递减法或年数总和法进行加速折旧。(责任单位：市财政局、市国税局、市地税局)</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(三)引导企业增加研发投入。</w:t>
            </w:r>
            <w:r w:rsidRPr="00742B76">
              <w:rPr>
                <w:rFonts w:ascii="宋体" w:eastAsia="宋体" w:hAnsi="宋体" w:cs="宋体"/>
                <w:color w:val="000000"/>
                <w:kern w:val="0"/>
                <w:szCs w:val="21"/>
              </w:rPr>
              <w:br/>
              <w:t xml:space="preserve">　　鼓励企业普遍建立研发准备金制度。对已建立研发准备金制度且对项目技术研发费用进行单独明细核算的企业，并同时满足规模以上企业当年研发投入占主营业务收入比例达到行业较高水平，以及企业主营业务收入增速当年高于全市平均水平等两项条件的，经企业申报和核实，按照企业研发投入的一定比例给予补贴，最高不超过500万元。(责任单位：市经济信息委、市财政局)</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(四)加强企业研发机构建设。</w:t>
            </w:r>
            <w:r w:rsidRPr="00742B76">
              <w:rPr>
                <w:rFonts w:ascii="宋体" w:eastAsia="宋体" w:hAnsi="宋体" w:cs="宋体"/>
                <w:color w:val="000000"/>
                <w:kern w:val="0"/>
                <w:szCs w:val="21"/>
              </w:rPr>
              <w:br/>
              <w:t xml:space="preserve">　　1.鼓励企业联合高等院校、科研院所共同建立研发机构，对新认定的国家级、市级企业研发机构和国家级、市级企业研发机构在运行评估中获优秀等次的，对其新购研发试验关键设备等能力提升项目，按照实际支出额的一定比例给予补贴，最高不超过500万元。(责任单位：市经济信息委、市科委、市财政局)</w:t>
            </w:r>
            <w:r w:rsidRPr="00742B76">
              <w:rPr>
                <w:rFonts w:ascii="宋体" w:eastAsia="宋体" w:hAnsi="宋体" w:cs="宋体"/>
                <w:color w:val="000000"/>
                <w:kern w:val="0"/>
                <w:szCs w:val="21"/>
              </w:rPr>
              <w:br/>
              <w:t xml:space="preserve">　　2.对企业到海外设立、兼并和收购研发机构，跨国公司和国外知名研发机构在我市新设立高水平研发机构，对其购置的研发试验关键设备按其实际支出额的一定比例给予补贴，最高不超过500万元。(责任单位：市经济信息委、市科委、市财政局)</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(五)推动产学研协同创新和成果转化。</w:t>
            </w:r>
            <w:r w:rsidRPr="00742B76">
              <w:rPr>
                <w:rFonts w:ascii="宋体" w:eastAsia="宋体" w:hAnsi="宋体" w:cs="宋体"/>
                <w:color w:val="000000"/>
                <w:kern w:val="0"/>
                <w:szCs w:val="21"/>
              </w:rPr>
              <w:br/>
              <w:t xml:space="preserve">　　1.对企业与国内外高等院校、科研院所协同创新并实现成果在渝成功转化的重大研发项目，按技术合同实际发生额的一定比例，给予最高不超过500万元的补贴。(责任单位：市经济信息委、市科委、市教委、市财政局)</w:t>
            </w:r>
            <w:r w:rsidRPr="00742B76">
              <w:rPr>
                <w:rFonts w:ascii="宋体" w:eastAsia="宋体" w:hAnsi="宋体" w:cs="宋体"/>
                <w:color w:val="000000"/>
                <w:kern w:val="0"/>
                <w:szCs w:val="21"/>
              </w:rPr>
              <w:br/>
              <w:t xml:space="preserve">　　2.高等院校、科研机构和企业的职务科技成果转让获得的收益，可提取不低于50%的收益比例，用于奖励科研负责人、骨干技术人员等作出重要贡献的人员和团队。(责任单位：市科委、市教委、市国资委、市经济信息委)</w:t>
            </w:r>
            <w:r w:rsidRPr="00742B76">
              <w:rPr>
                <w:rFonts w:ascii="宋体" w:eastAsia="宋体" w:hAnsi="宋体" w:cs="宋体"/>
                <w:color w:val="000000"/>
                <w:kern w:val="0"/>
                <w:szCs w:val="21"/>
              </w:rPr>
              <w:br/>
              <w:t xml:space="preserve">　　3.高等院校、科研院所将横向课题、专利创造、标准制定及成果转化纳入岗位考核、评奖、晋升职称的参考依据，在评定工程类副高级以上职称时，同等条件下优先考虑在企业工作1年以上或进行过产学研项目合作开发的人员。(责任单位：市科委、市教委、市人力社保局)</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(六)支持企业新产品研发及产业化。</w:t>
            </w:r>
            <w:r w:rsidRPr="00742B76">
              <w:rPr>
                <w:rFonts w:ascii="宋体" w:eastAsia="宋体" w:hAnsi="宋体" w:cs="宋体"/>
                <w:color w:val="000000"/>
                <w:kern w:val="0"/>
                <w:szCs w:val="21"/>
              </w:rPr>
              <w:br/>
              <w:t xml:space="preserve">　　对企业开发的新产品，经鉴定投产后，按鉴定当年的销售收入和研发投入强度分档给予新产品开发项目后补助支持，鼓励企业对新产品进行改进提升。(责任单位：市经济信息委、市科委、市财政局)</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(七)加强技术标准制定和实施。</w:t>
            </w:r>
            <w:r w:rsidRPr="00742B76">
              <w:rPr>
                <w:rFonts w:ascii="宋体" w:eastAsia="宋体" w:hAnsi="宋体" w:cs="宋体"/>
                <w:color w:val="000000"/>
                <w:kern w:val="0"/>
                <w:szCs w:val="21"/>
              </w:rPr>
              <w:br/>
              <w:t xml:space="preserve">　　对牵头制定并获批国际、国家、行业标准的企业，分别给予50万元、30万元、20万元奖励。(责任单位：市经济信息委、市质监局、市财政局)</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(八)开展首台(套)首购保险补偿及风险补贴。</w:t>
            </w:r>
            <w:r w:rsidRPr="00742B76">
              <w:rPr>
                <w:rFonts w:ascii="宋体" w:eastAsia="宋体" w:hAnsi="宋体" w:cs="宋体"/>
                <w:color w:val="000000"/>
                <w:kern w:val="0"/>
                <w:szCs w:val="21"/>
              </w:rPr>
              <w:br/>
              <w:t xml:space="preserve">　　1.对参加首台(套)重大技术装备保险补偿机制试点的，且投保“首台(套)重大技术装备综合险”或选择国际通行保险条款投保的企业，列入国家《首台(套)重大技术装备推广应用指导目录》的装备产品，按国家相关文件执行。列入《重庆市首台(套)重大技术装备推广应用指导目录》的装备产品，市财政对符合条件的投保企业参照国家补贴标准执行。(责任单位：市经济信息委、市财政局)</w:t>
            </w:r>
            <w:r w:rsidRPr="00742B76">
              <w:rPr>
                <w:rFonts w:ascii="宋体" w:eastAsia="宋体" w:hAnsi="宋体" w:cs="宋体"/>
                <w:color w:val="000000"/>
                <w:kern w:val="0"/>
                <w:szCs w:val="21"/>
              </w:rPr>
              <w:br/>
              <w:t xml:space="preserve">　　2.对首购首用经认定的具有自主知识产权首台(套)重大技术装备的市内企业，按照购买产品实际支付金额的一定比例给予一次性补贴，作为风险补偿，补贴金额最高不超过500万元。(责任单位：市经济信息委、市财政局)</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(九)支持科技人员创新创业。</w:t>
            </w:r>
            <w:r w:rsidRPr="00742B76">
              <w:rPr>
                <w:rFonts w:ascii="宋体" w:eastAsia="宋体" w:hAnsi="宋体" w:cs="宋体"/>
                <w:color w:val="000000"/>
                <w:kern w:val="0"/>
                <w:szCs w:val="21"/>
              </w:rPr>
              <w:br/>
              <w:t xml:space="preserve">　　1.建立促进国有企业创新的激励制度，对在创新中作出重要贡献的技术人员实施股权和分红激励，激励方案由企业管理层制订，根据《公司法》有关规定经董事会和股东(大)会审议通过后，按国有资产管理规定报履行国有资本出资人职责的机构或受其委托的企业核准或备案。(责任单位：市国资委)</w:t>
            </w:r>
            <w:r w:rsidRPr="00742B76">
              <w:rPr>
                <w:rFonts w:ascii="宋体" w:eastAsia="宋体" w:hAnsi="宋体" w:cs="宋体"/>
                <w:color w:val="000000"/>
                <w:kern w:val="0"/>
                <w:szCs w:val="21"/>
              </w:rPr>
              <w:br/>
              <w:t xml:space="preserve">　　2.企业科研人员通过科技成果转化取得股权奖励收入时，可在5年内分期缴纳个人所得税。(责任单位：市地税局)</w:t>
            </w:r>
            <w:r w:rsidRPr="00742B76">
              <w:rPr>
                <w:rFonts w:ascii="宋体" w:eastAsia="宋体" w:hAnsi="宋体" w:cs="宋体"/>
                <w:color w:val="000000"/>
                <w:kern w:val="0"/>
                <w:szCs w:val="21"/>
              </w:rPr>
              <w:br/>
              <w:t xml:space="preserve">　　3.高等院校、科研院所科技人员经所在单位同意，带项目、成果离岗创办企业的，3年内保留原人事关系和岗位等级。(责任单位：市科委、市教委、市人力社保局)</w:t>
            </w:r>
            <w:r w:rsidRPr="00742B76">
              <w:rPr>
                <w:rFonts w:ascii="宋体" w:eastAsia="宋体" w:hAnsi="宋体" w:cs="宋体"/>
                <w:color w:val="000000"/>
                <w:kern w:val="0"/>
                <w:szCs w:val="21"/>
              </w:rPr>
              <w:br/>
              <w:t xml:space="preserve">　　4.积极支持企业内部创新、创业等新型研发模式的形成，对通过开展众创、众包、众筹等内部孵化模式培养研发团队的企业择优给予支持。(责任单位：市经济信息委、市科委、市财政局)</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(十)引进高层次和紧缺人才。</w:t>
            </w:r>
            <w:r w:rsidRPr="00742B76">
              <w:rPr>
                <w:rFonts w:ascii="宋体" w:eastAsia="宋体" w:hAnsi="宋体" w:cs="宋体"/>
                <w:color w:val="000000"/>
                <w:kern w:val="0"/>
                <w:szCs w:val="21"/>
              </w:rPr>
              <w:br/>
              <w:t xml:space="preserve">　　1.支持市外高层次科技人才团队携科技成果来渝创新、创业，对创办企业的落地团队可进行基金参股支持，财政投入形成的股权产生的收益，按合同约定，可部分或全部奖励给科技人才团队。(责任单位：市经济信息委、市科委、市金融办、市财政局)</w:t>
            </w:r>
            <w:r w:rsidRPr="00742B76">
              <w:rPr>
                <w:rFonts w:ascii="宋体" w:eastAsia="宋体" w:hAnsi="宋体" w:cs="宋体"/>
                <w:color w:val="000000"/>
                <w:kern w:val="0"/>
                <w:szCs w:val="21"/>
              </w:rPr>
              <w:br/>
              <w:t xml:space="preserve">　　2.企业引进产业急需专业人才，年收入在30万元以上、从事核心技术或技能岗位、与企业签订3年以上劳动合同的，2年内按引进人才年收入的一定比例对企业进行补贴，降低企业引智成本。(责任单位：市经济信息委、市人力社保局、市财政局)</w:t>
            </w:r>
          </w:p>
          <w:p w:rsidR="00742B76" w:rsidRPr="00742B76" w:rsidRDefault="00742B76" w:rsidP="00742B76">
            <w:pPr>
              <w:widowControl/>
              <w:spacing w:line="408" w:lineRule="auto"/>
              <w:jc w:val="left"/>
              <w:rPr>
                <w:rFonts w:ascii="宋体" w:eastAsia="宋体" w:hAnsi="宋体" w:cs="宋体"/>
                <w:color w:val="000000"/>
                <w:kern w:val="0"/>
                <w:szCs w:val="21"/>
              </w:rPr>
            </w:pPr>
            <w:r w:rsidRPr="00742B76">
              <w:rPr>
                <w:rFonts w:ascii="宋体" w:eastAsia="宋体" w:hAnsi="宋体" w:cs="宋体"/>
                <w:color w:val="000000"/>
                <w:kern w:val="0"/>
                <w:szCs w:val="21"/>
              </w:rPr>
              <w:t xml:space="preserve">　　三、工作要求</w:t>
            </w:r>
            <w:r w:rsidRPr="00742B76">
              <w:rPr>
                <w:rFonts w:ascii="宋体" w:eastAsia="宋体" w:hAnsi="宋体" w:cs="宋体"/>
                <w:color w:val="000000"/>
                <w:kern w:val="0"/>
                <w:szCs w:val="21"/>
              </w:rPr>
              <w:br/>
              <w:t xml:space="preserve">　　各区县(自治县)人民政府和市政府有关部门要制定实施细则、方案及配套政策，并加强对有关工作的绩效评估和监督检查。在政策执行过程中，若发现企业存在弄虚作假、骗取套取财政资金等行为，一经查实，除要追回已经取得的相应补贴(奖励)外，还要将其录入企业信用信息公示系统，3年内不得再享受有关优惠政策；构成犯罪的，依法追究刑事责任。</w:t>
            </w:r>
          </w:p>
          <w:p w:rsidR="00742B76" w:rsidRPr="00742B76" w:rsidRDefault="00742B76" w:rsidP="00742B76">
            <w:pPr>
              <w:widowControl/>
              <w:spacing w:line="408" w:lineRule="auto"/>
              <w:jc w:val="right"/>
              <w:rPr>
                <w:rFonts w:ascii="宋体" w:eastAsia="宋体" w:hAnsi="宋体" w:cs="宋体"/>
                <w:color w:val="000000"/>
                <w:kern w:val="0"/>
                <w:szCs w:val="21"/>
              </w:rPr>
            </w:pPr>
            <w:r w:rsidRPr="00742B76">
              <w:rPr>
                <w:rFonts w:ascii="宋体" w:eastAsia="宋体" w:hAnsi="宋体" w:cs="宋体"/>
                <w:color w:val="000000"/>
                <w:kern w:val="0"/>
                <w:szCs w:val="21"/>
              </w:rPr>
              <w:t xml:space="preserve">　　重庆市人民政府办公厅</w:t>
            </w:r>
            <w:r w:rsidRPr="00742B76">
              <w:rPr>
                <w:rFonts w:ascii="宋体" w:eastAsia="宋体" w:hAnsi="宋体" w:cs="宋体"/>
                <w:color w:val="000000"/>
                <w:kern w:val="0"/>
                <w:szCs w:val="21"/>
              </w:rPr>
              <w:br/>
              <w:t xml:space="preserve">　　 2015年9月16日</w:t>
            </w:r>
          </w:p>
        </w:tc>
      </w:tr>
      <w:tr w:rsidR="00742B76" w:rsidRPr="00742B76">
        <w:trPr>
          <w:trHeight w:val="450"/>
          <w:tblCellSpacing w:w="0" w:type="dxa"/>
          <w:jc w:val="center"/>
        </w:trPr>
        <w:tc>
          <w:tcPr>
            <w:tcW w:w="0" w:type="auto"/>
            <w:vAlign w:val="bottom"/>
            <w:hideMark/>
          </w:tcPr>
          <w:p w:rsidR="00742B76" w:rsidRPr="00742B76" w:rsidRDefault="00C4237A" w:rsidP="00742B76">
            <w:pPr>
              <w:widowControl/>
              <w:spacing w:line="408" w:lineRule="auto"/>
              <w:jc w:val="left"/>
              <w:rPr>
                <w:rFonts w:ascii="宋体" w:eastAsia="宋体" w:hAnsi="宋体" w:cs="宋体"/>
                <w:color w:val="000000"/>
                <w:kern w:val="0"/>
                <w:sz w:val="18"/>
                <w:szCs w:val="18"/>
              </w:rPr>
            </w:pPr>
            <w:r>
              <w:rPr>
                <w:rFonts w:ascii="宋体" w:eastAsia="宋体" w:hAnsi="宋体" w:cs="宋体"/>
                <w:color w:val="000000"/>
                <w:kern w:val="0"/>
                <w:sz w:val="18"/>
                <w:szCs w:val="18"/>
              </w:rPr>
              <w:lastRenderedPageBreak/>
              <w:pict>
                <v:rect id="_x0000_i1025" style="width:0;height:.75pt" o:hralign="center" o:hrstd="t" o:hrnoshade="t" o:hr="t" fillcolor="#ccc" stroked="f"/>
              </w:pict>
            </w:r>
          </w:p>
        </w:tc>
      </w:tr>
    </w:tbl>
    <w:p w:rsidR="00D26E61" w:rsidRDefault="00D26E61"/>
    <w:sectPr w:rsidR="00D26E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7A" w:rsidRDefault="00C4237A" w:rsidP="00D246D0">
      <w:r>
        <w:separator/>
      </w:r>
    </w:p>
  </w:endnote>
  <w:endnote w:type="continuationSeparator" w:id="0">
    <w:p w:rsidR="00C4237A" w:rsidRDefault="00C4237A" w:rsidP="00D24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7A" w:rsidRDefault="00C4237A" w:rsidP="00D246D0">
      <w:r>
        <w:separator/>
      </w:r>
    </w:p>
  </w:footnote>
  <w:footnote w:type="continuationSeparator" w:id="0">
    <w:p w:rsidR="00C4237A" w:rsidRDefault="00C4237A" w:rsidP="00D24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76"/>
    <w:rsid w:val="00742B76"/>
    <w:rsid w:val="00C4237A"/>
    <w:rsid w:val="00D246D0"/>
    <w:rsid w:val="00D2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F958F3-7C30-4585-AF78-4194C8F2C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46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46D0"/>
    <w:rPr>
      <w:sz w:val="18"/>
      <w:szCs w:val="18"/>
    </w:rPr>
  </w:style>
  <w:style w:type="paragraph" w:styleId="a4">
    <w:name w:val="footer"/>
    <w:basedOn w:val="a"/>
    <w:link w:val="Char0"/>
    <w:uiPriority w:val="99"/>
    <w:unhideWhenUsed/>
    <w:rsid w:val="00D246D0"/>
    <w:pPr>
      <w:tabs>
        <w:tab w:val="center" w:pos="4153"/>
        <w:tab w:val="right" w:pos="8306"/>
      </w:tabs>
      <w:snapToGrid w:val="0"/>
      <w:jc w:val="left"/>
    </w:pPr>
    <w:rPr>
      <w:sz w:val="18"/>
      <w:szCs w:val="18"/>
    </w:rPr>
  </w:style>
  <w:style w:type="character" w:customStyle="1" w:styleId="Char0">
    <w:name w:val="页脚 Char"/>
    <w:basedOn w:val="a0"/>
    <w:link w:val="a4"/>
    <w:uiPriority w:val="99"/>
    <w:rsid w:val="00D246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967900">
      <w:bodyDiv w:val="1"/>
      <w:marLeft w:val="0"/>
      <w:marRight w:val="0"/>
      <w:marTop w:val="0"/>
      <w:marBottom w:val="0"/>
      <w:divBdr>
        <w:top w:val="none" w:sz="0" w:space="0" w:color="auto"/>
        <w:left w:val="none" w:sz="0" w:space="0" w:color="auto"/>
        <w:bottom w:val="none" w:sz="0" w:space="0" w:color="auto"/>
        <w:right w:val="none" w:sz="0" w:space="0" w:color="auto"/>
      </w:divBdr>
      <w:divsChild>
        <w:div w:id="897008149">
          <w:marLeft w:val="0"/>
          <w:marRight w:val="0"/>
          <w:marTop w:val="0"/>
          <w:marBottom w:val="0"/>
          <w:divBdr>
            <w:top w:val="none" w:sz="0" w:space="0" w:color="auto"/>
            <w:left w:val="none" w:sz="0" w:space="0" w:color="auto"/>
            <w:bottom w:val="none" w:sz="0" w:space="0" w:color="auto"/>
            <w:right w:val="none" w:sz="0" w:space="0" w:color="auto"/>
          </w:divBdr>
          <w:divsChild>
            <w:div w:id="1830949218">
              <w:marLeft w:val="0"/>
              <w:marRight w:val="0"/>
              <w:marTop w:val="0"/>
              <w:marBottom w:val="0"/>
              <w:divBdr>
                <w:top w:val="none" w:sz="0" w:space="0" w:color="auto"/>
                <w:left w:val="none" w:sz="0" w:space="0" w:color="auto"/>
                <w:bottom w:val="none" w:sz="0" w:space="0" w:color="auto"/>
                <w:right w:val="none" w:sz="0" w:space="0" w:color="auto"/>
              </w:divBdr>
            </w:div>
            <w:div w:id="1468081685">
              <w:marLeft w:val="0"/>
              <w:marRight w:val="0"/>
              <w:marTop w:val="0"/>
              <w:marBottom w:val="0"/>
              <w:divBdr>
                <w:top w:val="none" w:sz="0" w:space="0" w:color="auto"/>
                <w:left w:val="none" w:sz="0" w:space="0" w:color="auto"/>
                <w:bottom w:val="none" w:sz="0" w:space="0" w:color="auto"/>
                <w:right w:val="none" w:sz="0" w:space="0" w:color="auto"/>
              </w:divBdr>
            </w:div>
            <w:div w:id="138157278">
              <w:marLeft w:val="0"/>
              <w:marRight w:val="0"/>
              <w:marTop w:val="0"/>
              <w:marBottom w:val="0"/>
              <w:divBdr>
                <w:top w:val="none" w:sz="0" w:space="0" w:color="auto"/>
                <w:left w:val="none" w:sz="0" w:space="0" w:color="auto"/>
                <w:bottom w:val="none" w:sz="0" w:space="0" w:color="auto"/>
                <w:right w:val="none" w:sz="0" w:space="0" w:color="auto"/>
              </w:divBdr>
            </w:div>
            <w:div w:id="2018388039">
              <w:marLeft w:val="0"/>
              <w:marRight w:val="0"/>
              <w:marTop w:val="0"/>
              <w:marBottom w:val="0"/>
              <w:divBdr>
                <w:top w:val="none" w:sz="0" w:space="0" w:color="auto"/>
                <w:left w:val="none" w:sz="0" w:space="0" w:color="auto"/>
                <w:bottom w:val="none" w:sz="0" w:space="0" w:color="auto"/>
                <w:right w:val="none" w:sz="0" w:space="0" w:color="auto"/>
              </w:divBdr>
            </w:div>
            <w:div w:id="1240098959">
              <w:marLeft w:val="0"/>
              <w:marRight w:val="0"/>
              <w:marTop w:val="0"/>
              <w:marBottom w:val="0"/>
              <w:divBdr>
                <w:top w:val="none" w:sz="0" w:space="0" w:color="auto"/>
                <w:left w:val="none" w:sz="0" w:space="0" w:color="auto"/>
                <w:bottom w:val="none" w:sz="0" w:space="0" w:color="auto"/>
                <w:right w:val="none" w:sz="0" w:space="0" w:color="auto"/>
              </w:divBdr>
            </w:div>
            <w:div w:id="1348362455">
              <w:marLeft w:val="0"/>
              <w:marRight w:val="0"/>
              <w:marTop w:val="0"/>
              <w:marBottom w:val="0"/>
              <w:divBdr>
                <w:top w:val="none" w:sz="0" w:space="0" w:color="auto"/>
                <w:left w:val="none" w:sz="0" w:space="0" w:color="auto"/>
                <w:bottom w:val="none" w:sz="0" w:space="0" w:color="auto"/>
                <w:right w:val="none" w:sz="0" w:space="0" w:color="auto"/>
              </w:divBdr>
            </w:div>
            <w:div w:id="890770672">
              <w:marLeft w:val="0"/>
              <w:marRight w:val="0"/>
              <w:marTop w:val="0"/>
              <w:marBottom w:val="0"/>
              <w:divBdr>
                <w:top w:val="none" w:sz="0" w:space="0" w:color="auto"/>
                <w:left w:val="none" w:sz="0" w:space="0" w:color="auto"/>
                <w:bottom w:val="none" w:sz="0" w:space="0" w:color="auto"/>
                <w:right w:val="none" w:sz="0" w:space="0" w:color="auto"/>
              </w:divBdr>
            </w:div>
            <w:div w:id="1493065342">
              <w:marLeft w:val="0"/>
              <w:marRight w:val="0"/>
              <w:marTop w:val="0"/>
              <w:marBottom w:val="0"/>
              <w:divBdr>
                <w:top w:val="none" w:sz="0" w:space="0" w:color="auto"/>
                <w:left w:val="none" w:sz="0" w:space="0" w:color="auto"/>
                <w:bottom w:val="none" w:sz="0" w:space="0" w:color="auto"/>
                <w:right w:val="none" w:sz="0" w:space="0" w:color="auto"/>
              </w:divBdr>
            </w:div>
            <w:div w:id="503279600">
              <w:marLeft w:val="0"/>
              <w:marRight w:val="0"/>
              <w:marTop w:val="0"/>
              <w:marBottom w:val="0"/>
              <w:divBdr>
                <w:top w:val="none" w:sz="0" w:space="0" w:color="auto"/>
                <w:left w:val="none" w:sz="0" w:space="0" w:color="auto"/>
                <w:bottom w:val="none" w:sz="0" w:space="0" w:color="auto"/>
                <w:right w:val="none" w:sz="0" w:space="0" w:color="auto"/>
              </w:divBdr>
            </w:div>
            <w:div w:id="2011832307">
              <w:marLeft w:val="0"/>
              <w:marRight w:val="0"/>
              <w:marTop w:val="0"/>
              <w:marBottom w:val="0"/>
              <w:divBdr>
                <w:top w:val="none" w:sz="0" w:space="0" w:color="auto"/>
                <w:left w:val="none" w:sz="0" w:space="0" w:color="auto"/>
                <w:bottom w:val="none" w:sz="0" w:space="0" w:color="auto"/>
                <w:right w:val="none" w:sz="0" w:space="0" w:color="auto"/>
              </w:divBdr>
            </w:div>
            <w:div w:id="775833431">
              <w:marLeft w:val="0"/>
              <w:marRight w:val="0"/>
              <w:marTop w:val="0"/>
              <w:marBottom w:val="0"/>
              <w:divBdr>
                <w:top w:val="none" w:sz="0" w:space="0" w:color="auto"/>
                <w:left w:val="none" w:sz="0" w:space="0" w:color="auto"/>
                <w:bottom w:val="none" w:sz="0" w:space="0" w:color="auto"/>
                <w:right w:val="none" w:sz="0" w:space="0" w:color="auto"/>
              </w:divBdr>
            </w:div>
            <w:div w:id="1931501256">
              <w:marLeft w:val="0"/>
              <w:marRight w:val="0"/>
              <w:marTop w:val="0"/>
              <w:marBottom w:val="0"/>
              <w:divBdr>
                <w:top w:val="none" w:sz="0" w:space="0" w:color="auto"/>
                <w:left w:val="none" w:sz="0" w:space="0" w:color="auto"/>
                <w:bottom w:val="none" w:sz="0" w:space="0" w:color="auto"/>
                <w:right w:val="none" w:sz="0" w:space="0" w:color="auto"/>
              </w:divBdr>
            </w:div>
            <w:div w:id="14312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2018-04-28T02:56:00Z</dcterms:created>
  <dcterms:modified xsi:type="dcterms:W3CDTF">2018-05-23T05:51:00Z</dcterms:modified>
</cp:coreProperties>
</file>